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37862" w:rsidTr="00825936">
        <w:trPr>
          <w:jc w:val="center"/>
        </w:trPr>
        <w:tc>
          <w:tcPr>
            <w:tcW w:w="743" w:type="dxa"/>
          </w:tcPr>
          <w:p w:rsidR="00B37862" w:rsidRDefault="00B37862" w:rsidP="00825936">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B37862" w:rsidRDefault="00B37862" w:rsidP="00825936">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B37862" w:rsidRDefault="00B37862" w:rsidP="00825936">
            <w:pPr>
              <w:rPr>
                <w:rFonts w:ascii="Arial" w:hAnsi="Arial" w:cs="FrankRuehl"/>
                <w:sz w:val="28"/>
                <w:szCs w:val="28"/>
                <w:highlight w:val="yellow"/>
              </w:rPr>
            </w:pPr>
          </w:p>
        </w:tc>
      </w:tr>
      <w:tr w:rsidR="00B37862" w:rsidTr="00825936">
        <w:trPr>
          <w:jc w:val="center"/>
        </w:trPr>
        <w:tc>
          <w:tcPr>
            <w:tcW w:w="3249" w:type="dxa"/>
            <w:gridSpan w:val="2"/>
          </w:tcPr>
          <w:p w:rsidR="00B37862" w:rsidRDefault="00B37862" w:rsidP="00825936">
            <w:pPr>
              <w:bidi w:val="0"/>
              <w:jc w:val="right"/>
              <w:rPr>
                <w:rFonts w:ascii="Arial" w:hAnsi="Arial"/>
                <w:b/>
                <w:bCs/>
                <w:noProof w:val="0"/>
                <w:sz w:val="26"/>
                <w:szCs w:val="26"/>
              </w:rPr>
            </w:pPr>
          </w:p>
          <w:sdt>
            <w:sdtPr>
              <w:alias w:val="1180"/>
              <w:tag w:val="1180"/>
              <w:id w:val="-1016538661"/>
              <w:text w:multiLine="1"/>
            </w:sdtPr>
            <w:sdtEndPr/>
            <w:sdtContent>
              <w:p w:rsidR="00B37862" w:rsidRDefault="00B37862" w:rsidP="00825936">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B37862" w:rsidRDefault="00B37862" w:rsidP="00825936">
            <w:pPr>
              <w:rPr>
                <w:rFonts w:ascii="Arial" w:hAnsi="Arial"/>
                <w:b/>
                <w:bCs/>
                <w:noProof w:val="0"/>
                <w:sz w:val="26"/>
                <w:szCs w:val="26"/>
              </w:rPr>
            </w:pPr>
          </w:p>
          <w:p w:rsidR="00B37862" w:rsidRDefault="009B5922" w:rsidP="00144CD4">
            <w:pPr>
              <w:rPr>
                <w:b/>
                <w:bCs/>
                <w:noProof w:val="0"/>
                <w:sz w:val="26"/>
                <w:szCs w:val="26"/>
              </w:rPr>
            </w:pPr>
            <w:sdt>
              <w:sdtPr>
                <w:rPr>
                  <w:rtl/>
                </w:rPr>
                <w:alias w:val="1462"/>
                <w:tag w:val="1462"/>
                <w:id w:val="557062456"/>
                <w:text w:multiLine="1"/>
              </w:sdtPr>
              <w:sdtEndPr/>
              <w:sdtContent>
                <w:r w:rsidR="00B37862">
                  <w:rPr>
                    <w:rFonts w:ascii="Arial" w:hAnsi="Arial"/>
                    <w:b/>
                    <w:bCs/>
                    <w:noProof w:val="0"/>
                    <w:sz w:val="26"/>
                    <w:szCs w:val="26"/>
                    <w:rtl/>
                  </w:rPr>
                  <w:t>1</w:t>
                </w:r>
              </w:sdtContent>
            </w:sdt>
            <w:r w:rsidR="00B37862">
              <w:rPr>
                <w:b/>
                <w:bCs/>
                <w:noProof w:val="0"/>
                <w:sz w:val="26"/>
                <w:szCs w:val="26"/>
                <w:rtl/>
              </w:rPr>
              <w:t xml:space="preserve">. </w:t>
            </w:r>
            <w:r w:rsidR="00144CD4">
              <w:rPr>
                <w:rFonts w:ascii="Arial" w:hAnsi="Arial" w:hint="cs"/>
                <w:b/>
                <w:bCs/>
                <w:noProof w:val="0"/>
                <w:sz w:val="26"/>
                <w:szCs w:val="26"/>
                <w:rtl/>
              </w:rPr>
              <w:t>***</w:t>
            </w:r>
          </w:p>
          <w:p w:rsidR="00B37862" w:rsidRDefault="009B5922" w:rsidP="00144CD4">
            <w:pPr>
              <w:rPr>
                <w:b/>
                <w:bCs/>
                <w:noProof w:val="0"/>
                <w:sz w:val="26"/>
                <w:szCs w:val="26"/>
              </w:rPr>
            </w:pPr>
            <w:sdt>
              <w:sdtPr>
                <w:rPr>
                  <w:rtl/>
                </w:rPr>
                <w:alias w:val="1462"/>
                <w:tag w:val="1462"/>
                <w:id w:val="-617597442"/>
                <w:text w:multiLine="1"/>
              </w:sdtPr>
              <w:sdtEndPr/>
              <w:sdtContent>
                <w:r w:rsidR="00B37862">
                  <w:rPr>
                    <w:rFonts w:ascii="Arial" w:hAnsi="Arial"/>
                    <w:b/>
                    <w:bCs/>
                    <w:noProof w:val="0"/>
                    <w:sz w:val="26"/>
                    <w:szCs w:val="26"/>
                    <w:rtl/>
                  </w:rPr>
                  <w:t>2</w:t>
                </w:r>
              </w:sdtContent>
            </w:sdt>
            <w:r w:rsidR="00B37862">
              <w:rPr>
                <w:b/>
                <w:bCs/>
                <w:noProof w:val="0"/>
                <w:sz w:val="26"/>
                <w:szCs w:val="26"/>
                <w:rtl/>
              </w:rPr>
              <w:t xml:space="preserve">. </w:t>
            </w:r>
            <w:r w:rsidR="00144CD4">
              <w:rPr>
                <w:rFonts w:ascii="Arial" w:hAnsi="Arial" w:hint="cs"/>
                <w:b/>
                <w:bCs/>
                <w:noProof w:val="0"/>
                <w:sz w:val="26"/>
                <w:szCs w:val="26"/>
                <w:rtl/>
              </w:rPr>
              <w:t>***</w:t>
            </w:r>
          </w:p>
          <w:p w:rsidR="00B37862" w:rsidRDefault="009B5922" w:rsidP="00144CD4">
            <w:pPr>
              <w:rPr>
                <w:b/>
                <w:bCs/>
                <w:noProof w:val="0"/>
                <w:sz w:val="26"/>
                <w:szCs w:val="26"/>
              </w:rPr>
            </w:pPr>
            <w:sdt>
              <w:sdtPr>
                <w:rPr>
                  <w:rtl/>
                </w:rPr>
                <w:alias w:val="1462"/>
                <w:tag w:val="1462"/>
                <w:id w:val="1424146171"/>
                <w:text w:multiLine="1"/>
              </w:sdtPr>
              <w:sdtEndPr/>
              <w:sdtContent>
                <w:r w:rsidR="00B37862">
                  <w:rPr>
                    <w:rFonts w:ascii="Arial" w:hAnsi="Arial"/>
                    <w:b/>
                    <w:bCs/>
                    <w:noProof w:val="0"/>
                    <w:sz w:val="26"/>
                    <w:szCs w:val="26"/>
                    <w:rtl/>
                  </w:rPr>
                  <w:t>3</w:t>
                </w:r>
              </w:sdtContent>
            </w:sdt>
            <w:r w:rsidR="00B37862">
              <w:rPr>
                <w:b/>
                <w:bCs/>
                <w:noProof w:val="0"/>
                <w:sz w:val="26"/>
                <w:szCs w:val="26"/>
                <w:rtl/>
              </w:rPr>
              <w:t xml:space="preserve">. </w:t>
            </w:r>
            <w:r w:rsidR="00144CD4">
              <w:rPr>
                <w:rFonts w:ascii="Arial" w:hAnsi="Arial" w:hint="cs"/>
                <w:b/>
                <w:bCs/>
                <w:noProof w:val="0"/>
                <w:sz w:val="26"/>
                <w:szCs w:val="26"/>
                <w:rtl/>
              </w:rPr>
              <w:t>***</w:t>
            </w:r>
          </w:p>
          <w:p w:rsidR="00B37862" w:rsidRDefault="009B5922" w:rsidP="00144CD4">
            <w:pPr>
              <w:rPr>
                <w:b/>
                <w:bCs/>
                <w:noProof w:val="0"/>
                <w:sz w:val="26"/>
                <w:szCs w:val="26"/>
                <w:rtl/>
              </w:rPr>
            </w:pPr>
            <w:sdt>
              <w:sdtPr>
                <w:rPr>
                  <w:rtl/>
                </w:rPr>
                <w:alias w:val="1462"/>
                <w:tag w:val="1462"/>
                <w:id w:val="-682202308"/>
                <w:text w:multiLine="1"/>
              </w:sdtPr>
              <w:sdtEndPr/>
              <w:sdtContent>
                <w:r w:rsidR="00B37862">
                  <w:rPr>
                    <w:rFonts w:ascii="Arial" w:hAnsi="Arial"/>
                    <w:b/>
                    <w:bCs/>
                    <w:noProof w:val="0"/>
                    <w:sz w:val="26"/>
                    <w:szCs w:val="26"/>
                    <w:rtl/>
                  </w:rPr>
                  <w:t>4</w:t>
                </w:r>
              </w:sdtContent>
            </w:sdt>
            <w:r w:rsidR="00B37862">
              <w:rPr>
                <w:b/>
                <w:bCs/>
                <w:noProof w:val="0"/>
                <w:sz w:val="26"/>
                <w:szCs w:val="26"/>
                <w:rtl/>
              </w:rPr>
              <w:t xml:space="preserve">. </w:t>
            </w:r>
            <w:r w:rsidR="00144CD4">
              <w:rPr>
                <w:rFonts w:ascii="Arial" w:hAnsi="Arial" w:hint="cs"/>
                <w:b/>
                <w:bCs/>
                <w:noProof w:val="0"/>
                <w:sz w:val="26"/>
                <w:szCs w:val="26"/>
                <w:rtl/>
              </w:rPr>
              <w:t>***</w:t>
            </w:r>
          </w:p>
          <w:p w:rsidR="00946457" w:rsidRPr="00946457" w:rsidRDefault="00946457" w:rsidP="00D5463F">
            <w:pPr>
              <w:rPr>
                <w:noProof w:val="0"/>
                <w:sz w:val="26"/>
                <w:szCs w:val="26"/>
              </w:rPr>
            </w:pPr>
            <w:r w:rsidRPr="00946457">
              <w:rPr>
                <w:rFonts w:hint="cs"/>
                <w:noProof w:val="0"/>
                <w:sz w:val="26"/>
                <w:szCs w:val="26"/>
                <w:rtl/>
              </w:rPr>
              <w:t>ע"י ב"כ עוה"ד שמעון האן</w:t>
            </w:r>
          </w:p>
        </w:tc>
      </w:tr>
      <w:tr w:rsidR="00B37862" w:rsidTr="00825936">
        <w:trPr>
          <w:jc w:val="center"/>
        </w:trPr>
        <w:tc>
          <w:tcPr>
            <w:tcW w:w="8820" w:type="dxa"/>
            <w:gridSpan w:val="3"/>
          </w:tcPr>
          <w:p w:rsidR="00B37862" w:rsidRDefault="00B37862" w:rsidP="00825936">
            <w:pPr>
              <w:rPr>
                <w:rFonts w:ascii="Arial" w:hAnsi="Arial"/>
                <w:b/>
                <w:bCs/>
                <w:noProof w:val="0"/>
                <w:sz w:val="26"/>
                <w:szCs w:val="26"/>
                <w:rtl/>
              </w:rPr>
            </w:pPr>
          </w:p>
          <w:p w:rsidR="00B37862" w:rsidRDefault="00B37862" w:rsidP="00825936">
            <w:pPr>
              <w:jc w:val="center"/>
              <w:rPr>
                <w:rFonts w:ascii="Arial" w:hAnsi="Arial"/>
                <w:b/>
                <w:bCs/>
                <w:noProof w:val="0"/>
                <w:sz w:val="26"/>
                <w:szCs w:val="26"/>
                <w:rtl/>
              </w:rPr>
            </w:pPr>
            <w:r>
              <w:rPr>
                <w:rFonts w:ascii="Arial" w:hAnsi="Arial"/>
                <w:b/>
                <w:bCs/>
                <w:noProof w:val="0"/>
                <w:sz w:val="26"/>
                <w:szCs w:val="26"/>
                <w:rtl/>
              </w:rPr>
              <w:t>נגד</w:t>
            </w:r>
          </w:p>
          <w:p w:rsidR="00B37862" w:rsidRDefault="00B37862" w:rsidP="00825936">
            <w:pPr>
              <w:rPr>
                <w:rFonts w:ascii="Arial" w:hAnsi="Arial"/>
                <w:b/>
                <w:bCs/>
                <w:noProof w:val="0"/>
                <w:sz w:val="26"/>
                <w:szCs w:val="26"/>
              </w:rPr>
            </w:pPr>
          </w:p>
        </w:tc>
      </w:tr>
      <w:tr w:rsidR="00B37862" w:rsidTr="00825936">
        <w:trPr>
          <w:jc w:val="center"/>
        </w:trPr>
        <w:tc>
          <w:tcPr>
            <w:tcW w:w="3249" w:type="dxa"/>
            <w:gridSpan w:val="2"/>
          </w:tcPr>
          <w:p w:rsidR="00B37862" w:rsidRDefault="00B37862" w:rsidP="00825936">
            <w:pPr>
              <w:rPr>
                <w:rFonts w:ascii="Arial" w:hAnsi="Arial"/>
                <w:b/>
                <w:bCs/>
                <w:noProof w:val="0"/>
                <w:sz w:val="26"/>
                <w:szCs w:val="26"/>
                <w:rtl/>
              </w:rPr>
            </w:pPr>
          </w:p>
          <w:p w:rsidR="00B37862" w:rsidRDefault="009B5922" w:rsidP="00825936">
            <w:pPr>
              <w:rPr>
                <w:rFonts w:ascii="Arial" w:hAnsi="Arial"/>
                <w:b/>
                <w:bCs/>
                <w:noProof w:val="0"/>
                <w:sz w:val="26"/>
                <w:szCs w:val="26"/>
              </w:rPr>
            </w:pPr>
            <w:sdt>
              <w:sdtPr>
                <w:rPr>
                  <w:rtl/>
                </w:rPr>
                <w:alias w:val="1184"/>
                <w:tag w:val="1184"/>
                <w:id w:val="-35981914"/>
                <w:text w:multiLine="1"/>
              </w:sdtPr>
              <w:sdtEndPr/>
              <w:sdtContent>
                <w:r w:rsidR="00B37862">
                  <w:rPr>
                    <w:rFonts w:ascii="Arial" w:hAnsi="Arial"/>
                    <w:b/>
                    <w:bCs/>
                    <w:noProof w:val="0"/>
                    <w:sz w:val="26"/>
                    <w:szCs w:val="26"/>
                    <w:rtl/>
                  </w:rPr>
                  <w:t>משיבים</w:t>
                </w:r>
              </w:sdtContent>
            </w:sdt>
          </w:p>
        </w:tc>
        <w:tc>
          <w:tcPr>
            <w:tcW w:w="5571" w:type="dxa"/>
          </w:tcPr>
          <w:p w:rsidR="00B37862" w:rsidRDefault="00B37862" w:rsidP="00825936">
            <w:pPr>
              <w:rPr>
                <w:rFonts w:ascii="Arial" w:hAnsi="Arial"/>
                <w:b/>
                <w:bCs/>
                <w:noProof w:val="0"/>
                <w:sz w:val="26"/>
                <w:szCs w:val="26"/>
                <w:rtl/>
              </w:rPr>
            </w:pPr>
          </w:p>
          <w:p w:rsidR="00B37862" w:rsidRDefault="009B5922" w:rsidP="00144CD4">
            <w:pPr>
              <w:rPr>
                <w:b/>
                <w:bCs/>
                <w:noProof w:val="0"/>
                <w:sz w:val="26"/>
                <w:szCs w:val="26"/>
                <w:rtl/>
              </w:rPr>
            </w:pPr>
            <w:sdt>
              <w:sdtPr>
                <w:rPr>
                  <w:rtl/>
                </w:rPr>
                <w:alias w:val="1571"/>
                <w:tag w:val="1571"/>
                <w:id w:val="1650790351"/>
                <w:text w:multiLine="1"/>
              </w:sdtPr>
              <w:sdtEndPr/>
              <w:sdtContent>
                <w:r w:rsidR="00B37862">
                  <w:rPr>
                    <w:rFonts w:ascii="Arial" w:hAnsi="Arial"/>
                    <w:b/>
                    <w:bCs/>
                    <w:noProof w:val="0"/>
                    <w:sz w:val="26"/>
                    <w:szCs w:val="26"/>
                    <w:rtl/>
                  </w:rPr>
                  <w:t>1</w:t>
                </w:r>
              </w:sdtContent>
            </w:sdt>
            <w:r w:rsidR="00B37862">
              <w:rPr>
                <w:rFonts w:ascii="Arial" w:hAnsi="Arial"/>
                <w:b/>
                <w:bCs/>
                <w:noProof w:val="0"/>
                <w:sz w:val="26"/>
                <w:szCs w:val="26"/>
                <w:rtl/>
              </w:rPr>
              <w:t xml:space="preserve">. </w:t>
            </w:r>
            <w:r w:rsidR="00144CD4">
              <w:rPr>
                <w:rFonts w:ascii="Arial" w:hAnsi="Arial" w:hint="cs"/>
                <w:b/>
                <w:bCs/>
                <w:noProof w:val="0"/>
                <w:sz w:val="26"/>
                <w:szCs w:val="26"/>
                <w:rtl/>
              </w:rPr>
              <w:t>***</w:t>
            </w:r>
          </w:p>
          <w:p w:rsidR="00B37862" w:rsidRDefault="009B5922" w:rsidP="00144CD4">
            <w:pPr>
              <w:rPr>
                <w:b/>
                <w:bCs/>
                <w:noProof w:val="0"/>
                <w:sz w:val="26"/>
                <w:szCs w:val="26"/>
                <w:rtl/>
              </w:rPr>
            </w:pPr>
            <w:sdt>
              <w:sdtPr>
                <w:rPr>
                  <w:rtl/>
                </w:rPr>
                <w:alias w:val="1571"/>
                <w:tag w:val="1571"/>
                <w:id w:val="1532918985"/>
                <w:text w:multiLine="1"/>
              </w:sdtPr>
              <w:sdtEndPr/>
              <w:sdtContent>
                <w:r w:rsidR="00B37862">
                  <w:rPr>
                    <w:rFonts w:ascii="Arial" w:hAnsi="Arial"/>
                    <w:b/>
                    <w:bCs/>
                    <w:noProof w:val="0"/>
                    <w:sz w:val="26"/>
                    <w:szCs w:val="26"/>
                    <w:rtl/>
                  </w:rPr>
                  <w:t>2</w:t>
                </w:r>
              </w:sdtContent>
            </w:sdt>
            <w:r w:rsidR="00B37862">
              <w:rPr>
                <w:rFonts w:ascii="Arial" w:hAnsi="Arial"/>
                <w:b/>
                <w:bCs/>
                <w:noProof w:val="0"/>
                <w:sz w:val="26"/>
                <w:szCs w:val="26"/>
                <w:rtl/>
              </w:rPr>
              <w:t xml:space="preserve">. </w:t>
            </w:r>
            <w:r w:rsidR="00144CD4">
              <w:rPr>
                <w:rFonts w:ascii="Arial" w:hAnsi="Arial" w:hint="cs"/>
                <w:b/>
                <w:bCs/>
                <w:noProof w:val="0"/>
                <w:sz w:val="26"/>
                <w:szCs w:val="26"/>
                <w:rtl/>
              </w:rPr>
              <w:t>***</w:t>
            </w:r>
          </w:p>
          <w:p w:rsidR="00B37862" w:rsidRDefault="009B5922" w:rsidP="00144CD4">
            <w:pPr>
              <w:rPr>
                <w:b/>
                <w:bCs/>
                <w:noProof w:val="0"/>
                <w:sz w:val="26"/>
                <w:szCs w:val="26"/>
                <w:rtl/>
              </w:rPr>
            </w:pPr>
            <w:sdt>
              <w:sdtPr>
                <w:rPr>
                  <w:rtl/>
                </w:rPr>
                <w:alias w:val="1571"/>
                <w:tag w:val="1571"/>
                <w:id w:val="796644950"/>
                <w:text w:multiLine="1"/>
              </w:sdtPr>
              <w:sdtEndPr/>
              <w:sdtContent>
                <w:r w:rsidR="00B37862">
                  <w:rPr>
                    <w:rFonts w:ascii="Arial" w:hAnsi="Arial"/>
                    <w:b/>
                    <w:bCs/>
                    <w:noProof w:val="0"/>
                    <w:sz w:val="26"/>
                    <w:szCs w:val="26"/>
                    <w:rtl/>
                  </w:rPr>
                  <w:t>3</w:t>
                </w:r>
              </w:sdtContent>
            </w:sdt>
            <w:r w:rsidR="00B37862">
              <w:rPr>
                <w:rFonts w:ascii="Arial" w:hAnsi="Arial"/>
                <w:b/>
                <w:bCs/>
                <w:noProof w:val="0"/>
                <w:sz w:val="26"/>
                <w:szCs w:val="26"/>
                <w:rtl/>
              </w:rPr>
              <w:t xml:space="preserve">. </w:t>
            </w:r>
            <w:r w:rsidR="00144CD4">
              <w:rPr>
                <w:rFonts w:ascii="Arial" w:hAnsi="Arial" w:hint="cs"/>
                <w:b/>
                <w:bCs/>
                <w:noProof w:val="0"/>
                <w:sz w:val="26"/>
                <w:szCs w:val="26"/>
                <w:rtl/>
              </w:rPr>
              <w:t>***</w:t>
            </w:r>
          </w:p>
          <w:p w:rsidR="00946457" w:rsidRPr="00233259" w:rsidRDefault="00946457" w:rsidP="00D5463F">
            <w:pPr>
              <w:rPr>
                <w:noProof w:val="0"/>
                <w:sz w:val="26"/>
                <w:szCs w:val="26"/>
                <w:rtl/>
              </w:rPr>
            </w:pPr>
            <w:r w:rsidRPr="00233259">
              <w:rPr>
                <w:rFonts w:hint="cs"/>
                <w:noProof w:val="0"/>
                <w:sz w:val="26"/>
                <w:szCs w:val="26"/>
                <w:rtl/>
              </w:rPr>
              <w:t>ע"י ב"כ עוה"ד אורי אביב</w:t>
            </w:r>
          </w:p>
        </w:tc>
      </w:tr>
      <w:tr w:rsidR="00B37862" w:rsidTr="00825936">
        <w:trPr>
          <w:jc w:val="center"/>
        </w:trPr>
        <w:tc>
          <w:tcPr>
            <w:tcW w:w="8820" w:type="dxa"/>
            <w:gridSpan w:val="3"/>
          </w:tcPr>
          <w:p w:rsidR="00B37862" w:rsidRDefault="00B37862" w:rsidP="00825936">
            <w:pPr>
              <w:rPr>
                <w:rFonts w:ascii="Arial" w:hAnsi="Arial"/>
                <w:b/>
                <w:bCs/>
                <w:noProof w:val="0"/>
                <w:sz w:val="26"/>
                <w:szCs w:val="26"/>
                <w:rtl/>
              </w:rPr>
            </w:pPr>
          </w:p>
        </w:tc>
      </w:tr>
      <w:tr w:rsidR="00B37862" w:rsidRPr="00D95329" w:rsidTr="00825936">
        <w:trPr>
          <w:jc w:val="center"/>
        </w:trPr>
        <w:tc>
          <w:tcPr>
            <w:tcW w:w="8820" w:type="dxa"/>
            <w:gridSpan w:val="3"/>
          </w:tcPr>
          <w:p w:rsidR="00B37862" w:rsidRPr="00D95329" w:rsidRDefault="00B37862" w:rsidP="00825936">
            <w:pPr>
              <w:bidi w:val="0"/>
              <w:jc w:val="center"/>
              <w:rPr>
                <w:rFonts w:ascii="Arial" w:hAnsi="Arial"/>
                <w:b/>
                <w:bCs/>
                <w:i/>
                <w:iCs/>
                <w:noProof w:val="0"/>
                <w:sz w:val="36"/>
                <w:szCs w:val="36"/>
                <w:u w:val="single"/>
              </w:rPr>
            </w:pPr>
          </w:p>
          <w:p w:rsidR="00B37862" w:rsidRPr="00D95329" w:rsidRDefault="00B37862" w:rsidP="00825936">
            <w:pPr>
              <w:bidi w:val="0"/>
              <w:jc w:val="center"/>
              <w:rPr>
                <w:rFonts w:ascii="Arial" w:hAnsi="Arial"/>
                <w:b/>
                <w:bCs/>
                <w:i/>
                <w:iCs/>
                <w:noProof w:val="0"/>
                <w:sz w:val="36"/>
                <w:szCs w:val="36"/>
                <w:u w:val="single"/>
              </w:rPr>
            </w:pPr>
            <w:r w:rsidRPr="00D95329">
              <w:rPr>
                <w:rFonts w:ascii="Arial" w:hAnsi="Arial"/>
                <w:b/>
                <w:bCs/>
                <w:i/>
                <w:iCs/>
                <w:noProof w:val="0"/>
                <w:sz w:val="36"/>
                <w:szCs w:val="36"/>
                <w:u w:val="single"/>
                <w:rtl/>
              </w:rPr>
              <w:t>פסק דין</w:t>
            </w:r>
          </w:p>
        </w:tc>
      </w:tr>
    </w:tbl>
    <w:p w:rsidR="00B37862" w:rsidRDefault="00B37862" w:rsidP="00B37862">
      <w:pPr>
        <w:spacing w:line="360" w:lineRule="auto"/>
        <w:jc w:val="both"/>
        <w:rPr>
          <w:rFonts w:ascii="Arial" w:hAnsi="Arial"/>
          <w:noProof w:val="0"/>
          <w:rtl/>
        </w:rPr>
      </w:pPr>
    </w:p>
    <w:p w:rsidR="00B37862" w:rsidRDefault="00B37862" w:rsidP="00233259">
      <w:pPr>
        <w:spacing w:line="360" w:lineRule="auto"/>
        <w:jc w:val="both"/>
        <w:rPr>
          <w:rFonts w:ascii="David" w:hAnsi="David"/>
          <w:noProof w:val="0"/>
        </w:rPr>
      </w:pPr>
      <w:r>
        <w:rPr>
          <w:rFonts w:ascii="David" w:hAnsi="David"/>
          <w:rtl/>
        </w:rPr>
        <w:t xml:space="preserve">לפניי תביעה לקביעת היקף עיזבון המנוחה </w:t>
      </w:r>
      <w:r w:rsidR="00233259">
        <w:rPr>
          <w:rFonts w:ascii="David" w:hAnsi="David" w:hint="cs"/>
          <w:rtl/>
        </w:rPr>
        <w:t>***</w:t>
      </w:r>
      <w:r>
        <w:rPr>
          <w:rFonts w:ascii="David" w:hAnsi="David"/>
          <w:rtl/>
        </w:rPr>
        <w:t xml:space="preserve"> ז"ל, אשר נפטרה ביום </w:t>
      </w:r>
      <w:r w:rsidR="00233259">
        <w:rPr>
          <w:rFonts w:ascii="David" w:hAnsi="David" w:hint="cs"/>
          <w:rtl/>
        </w:rPr>
        <w:t>00</w:t>
      </w:r>
      <w:r>
        <w:rPr>
          <w:rFonts w:ascii="David" w:hAnsi="David"/>
          <w:rtl/>
        </w:rPr>
        <w:t>.</w:t>
      </w:r>
      <w:r w:rsidR="00233259">
        <w:rPr>
          <w:rFonts w:ascii="David" w:hAnsi="David" w:hint="cs"/>
          <w:rtl/>
        </w:rPr>
        <w:t>00</w:t>
      </w:r>
      <w:r>
        <w:rPr>
          <w:rFonts w:ascii="David" w:hAnsi="David"/>
          <w:rtl/>
        </w:rPr>
        <w:t>.2021 (להלן: "</w:t>
      </w:r>
      <w:r>
        <w:rPr>
          <w:rFonts w:ascii="David" w:hAnsi="David"/>
          <w:b/>
          <w:bCs/>
          <w:rtl/>
        </w:rPr>
        <w:t>המנוחה</w:t>
      </w:r>
      <w:r>
        <w:rPr>
          <w:rFonts w:ascii="David" w:hAnsi="David"/>
          <w:rtl/>
        </w:rPr>
        <w:t>").</w:t>
      </w:r>
    </w:p>
    <w:p w:rsidR="00B37862" w:rsidRDefault="00B37862" w:rsidP="00B37862">
      <w:pPr>
        <w:spacing w:line="360" w:lineRule="auto"/>
        <w:jc w:val="both"/>
        <w:rPr>
          <w:rFonts w:ascii="David" w:hAnsi="David"/>
          <w:rtl/>
        </w:rPr>
      </w:pPr>
    </w:p>
    <w:p w:rsidR="00B37862" w:rsidRDefault="00B37862" w:rsidP="00B37862">
      <w:pPr>
        <w:spacing w:line="360" w:lineRule="auto"/>
        <w:jc w:val="both"/>
        <w:rPr>
          <w:rFonts w:ascii="David" w:hAnsi="David"/>
          <w:b/>
          <w:bCs/>
          <w:u w:val="single"/>
          <w:rtl/>
        </w:rPr>
      </w:pPr>
      <w:r>
        <w:rPr>
          <w:rFonts w:ascii="David" w:hAnsi="David"/>
          <w:b/>
          <w:bCs/>
          <w:u w:val="single"/>
          <w:rtl/>
        </w:rPr>
        <w:t>רקע עובדתי רלוונטי</w:t>
      </w:r>
    </w:p>
    <w:p w:rsidR="00B37862" w:rsidRDefault="00B37862" w:rsidP="00B37862">
      <w:pPr>
        <w:spacing w:line="360" w:lineRule="auto"/>
        <w:jc w:val="both"/>
        <w:rPr>
          <w:rFonts w:ascii="David" w:hAnsi="David"/>
          <w:u w:val="single"/>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1-4 (להלן: "</w:t>
      </w:r>
      <w:r>
        <w:rPr>
          <w:rFonts w:ascii="David" w:hAnsi="David" w:cs="David"/>
          <w:b/>
          <w:bCs/>
          <w:rtl/>
        </w:rPr>
        <w:t>התובעות</w:t>
      </w:r>
      <w:r>
        <w:rPr>
          <w:rFonts w:ascii="David" w:hAnsi="David" w:cs="David"/>
          <w:rtl/>
        </w:rPr>
        <w:t>") הינן אחיות של הנתבעים 1-3 (להלן: "</w:t>
      </w:r>
      <w:r>
        <w:rPr>
          <w:rFonts w:ascii="David" w:hAnsi="David" w:cs="David"/>
          <w:b/>
          <w:bCs/>
          <w:rtl/>
        </w:rPr>
        <w:t>הנתבעים</w:t>
      </w:r>
      <w:r>
        <w:rPr>
          <w:rFonts w:ascii="David" w:hAnsi="David" w:cs="David"/>
          <w:rtl/>
        </w:rPr>
        <w:t>").</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התובעות והנתבעים (להלן: "</w:t>
      </w:r>
      <w:r>
        <w:rPr>
          <w:rFonts w:ascii="David" w:hAnsi="David" w:cs="David"/>
          <w:b/>
          <w:bCs/>
          <w:rtl/>
        </w:rPr>
        <w:t>הצדדים</w:t>
      </w:r>
      <w:r>
        <w:rPr>
          <w:rFonts w:ascii="David" w:hAnsi="David" w:cs="David"/>
          <w:rtl/>
        </w:rPr>
        <w:t>") הינם ילדיה של המנוחה.</w:t>
      </w:r>
    </w:p>
    <w:p w:rsidR="00B37862" w:rsidRDefault="00B37862" w:rsidP="00B37862">
      <w:pPr>
        <w:pStyle w:val="a9"/>
        <w:spacing w:after="0" w:line="360" w:lineRule="auto"/>
        <w:jc w:val="both"/>
        <w:rPr>
          <w:rFonts w:ascii="David" w:hAnsi="David" w:cs="David"/>
        </w:rPr>
      </w:pPr>
    </w:p>
    <w:p w:rsidR="00B37862" w:rsidRDefault="00B37862" w:rsidP="007F4B76">
      <w:pPr>
        <w:pStyle w:val="a9"/>
        <w:numPr>
          <w:ilvl w:val="0"/>
          <w:numId w:val="1"/>
        </w:numPr>
        <w:spacing w:after="0" w:line="360" w:lineRule="auto"/>
        <w:jc w:val="both"/>
        <w:rPr>
          <w:rFonts w:ascii="David" w:hAnsi="David" w:cs="David"/>
          <w:rtl/>
        </w:rPr>
      </w:pPr>
      <w:r>
        <w:rPr>
          <w:rFonts w:ascii="David" w:hAnsi="David" w:cs="David"/>
          <w:rtl/>
        </w:rPr>
        <w:t xml:space="preserve">ביום </w:t>
      </w:r>
      <w:r w:rsidR="007F4B76">
        <w:rPr>
          <w:rFonts w:ascii="David" w:hAnsi="David" w:cs="David" w:hint="cs"/>
          <w:rtl/>
        </w:rPr>
        <w:t>00</w:t>
      </w:r>
      <w:r>
        <w:rPr>
          <w:rFonts w:ascii="David" w:hAnsi="David" w:cs="David"/>
          <w:rtl/>
        </w:rPr>
        <w:t>.</w:t>
      </w:r>
      <w:r w:rsidR="007F4B76">
        <w:rPr>
          <w:rFonts w:ascii="David" w:hAnsi="David" w:cs="David" w:hint="cs"/>
          <w:rtl/>
        </w:rPr>
        <w:t>00</w:t>
      </w:r>
      <w:r>
        <w:rPr>
          <w:rFonts w:ascii="David" w:hAnsi="David" w:cs="David"/>
          <w:rtl/>
        </w:rPr>
        <w:t>.2021 ניתן צו ירושה בעניין המנוחה, לפיו כל אחד מהצדדים יקבל 1/7 מכלל העיזבון.</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המנוחה התגוררה בדירה של חברת "עמיגור" (להלן: "</w:t>
      </w:r>
      <w:r>
        <w:rPr>
          <w:rFonts w:ascii="David" w:hAnsi="David" w:cs="David"/>
          <w:b/>
          <w:bCs/>
          <w:rtl/>
        </w:rPr>
        <w:t>הדירה</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spacing w:line="360" w:lineRule="auto"/>
        <w:jc w:val="both"/>
        <w:rPr>
          <w:rFonts w:ascii="David" w:hAnsi="David"/>
          <w:b/>
          <w:bCs/>
          <w:u w:val="single"/>
          <w:rtl/>
        </w:rPr>
      </w:pPr>
      <w:r>
        <w:rPr>
          <w:rFonts w:ascii="David" w:hAnsi="David"/>
          <w:b/>
          <w:bCs/>
          <w:u w:val="single"/>
          <w:rtl/>
        </w:rPr>
        <w:t>עיקר טענות התובעות</w:t>
      </w:r>
    </w:p>
    <w:p w:rsidR="00B37862" w:rsidRDefault="00B37862" w:rsidP="00B37862">
      <w:pPr>
        <w:spacing w:line="360" w:lineRule="auto"/>
        <w:jc w:val="both"/>
        <w:rPr>
          <w:rFonts w:ascii="David" w:hAnsi="David"/>
          <w:u w:val="single"/>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בשנת 2017 קיבלה המנוחה הזדמנות לרכוש את הדירה בסבסוד משמעותי.</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המנוחה הייתה ללא אמצעים כלכליים ולא היה ביכולתה לרכוש את הדירה.</w:t>
      </w: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נוכח הזמן הקצר שעמד לרשות המנוחה, ומכיוון שהנתבעים לא היו מעוניינים להשתתף ברכישת הדירה, התובעות אשר השכילו להבין את טיב ההצעה עשו את הבדיקות מטעמן והחליטו לנצל את חסכונותיהן והתובעות 3-4 אף נטלו הלוואות כדי להשתתף ברכישת הדירה.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התובעות רכשו את הדירה כארבע שנים לפני פטירת המנוחה.</w:t>
      </w:r>
    </w:p>
    <w:p w:rsidR="00B37862" w:rsidRDefault="00B37862" w:rsidP="00B37862">
      <w:pPr>
        <w:pStyle w:val="a9"/>
        <w:spacing w:after="0" w:line="360" w:lineRule="auto"/>
        <w:jc w:val="both"/>
        <w:rPr>
          <w:rFonts w:ascii="David" w:hAnsi="David" w:cs="David"/>
        </w:rPr>
      </w:pPr>
    </w:p>
    <w:p w:rsidR="00B37862" w:rsidRDefault="00B37862" w:rsidP="006A6E26">
      <w:pPr>
        <w:pStyle w:val="a9"/>
        <w:numPr>
          <w:ilvl w:val="0"/>
          <w:numId w:val="1"/>
        </w:numPr>
        <w:spacing w:after="0" w:line="360" w:lineRule="auto"/>
        <w:jc w:val="both"/>
        <w:rPr>
          <w:rFonts w:ascii="David" w:hAnsi="David" w:cs="David"/>
        </w:rPr>
      </w:pPr>
      <w:r>
        <w:rPr>
          <w:rFonts w:ascii="David" w:hAnsi="David" w:cs="David"/>
          <w:rtl/>
        </w:rPr>
        <w:t xml:space="preserve">בתקופה הרלוונטית ועד ליום הגשת התביעה, הנתבע 2 ריצה ועודנו מרצה תקופת מאסר ממושכת בת </w:t>
      </w:r>
      <w:r w:rsidR="006A6E26">
        <w:rPr>
          <w:rFonts w:ascii="David" w:hAnsi="David" w:cs="David" w:hint="cs"/>
          <w:rtl/>
        </w:rPr>
        <w:t>***</w:t>
      </w:r>
      <w:r>
        <w:rPr>
          <w:rFonts w:ascii="David" w:hAnsi="David" w:cs="David"/>
          <w:rtl/>
        </w:rPr>
        <w:t xml:space="preserve"> שנה, למרות זאת, הוצעה לו הזדמנות להשתתף ברכישת הדירה, והנתבע 2 אף הוא החליט להימנע מכך.</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שילמו את מלוא התמורה בגין הדירה, ואף תשלומי תיקונים, ועד הבית, שיפוץ הבית – תשלו</w:t>
      </w:r>
      <w:r w:rsidR="004075AC">
        <w:rPr>
          <w:rFonts w:ascii="David" w:hAnsi="David" w:cs="David"/>
          <w:rtl/>
        </w:rPr>
        <w:t>מים אשר שולמו ועדיין משולמים על</w:t>
      </w:r>
      <w:r w:rsidR="004075AC">
        <w:rPr>
          <w:rFonts w:ascii="David" w:hAnsi="David" w:cs="David" w:hint="cs"/>
          <w:rtl/>
        </w:rPr>
        <w:t>-</w:t>
      </w:r>
      <w:r>
        <w:rPr>
          <w:rFonts w:ascii="David" w:hAnsi="David" w:cs="David"/>
          <w:rtl/>
        </w:rPr>
        <w:t>ידי התובעות בלבד.</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לצורך ביצוע הרכישה היה על התובעות להסדיר את כלל החובות של המנוחה לחברת "עמיגור". התובעות והן בלבד נשאו בכיסוי חובות אלו, ואף נשאו בנטל כיסוי החובות מול הבנק וחברות האשראי.</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הנתבעת 1 והנתבע 3 חתמו על הסכם חלוקת עיזבון בין הצדדים, לפיו אין להם ומעולם לא היה להם זכויות בדירה ושאכן התובעות הן אלה שנשאו בתשלומי הדירה.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בהתאם לנוהלי חברת "עמיגור" לא ניתן היה להעביר את הדירה על שם התובעות, ורק בחלוף 5 שנים ממועד הרכישה ניתן לבצע את הפעולה, המנוחה נפטרה בפתאומיות ובטרם חלפו 5 שנים, ועל כן התובעות לא הסדירו את רישום הדירה על שמן.</w:t>
      </w:r>
    </w:p>
    <w:p w:rsidR="00B37862" w:rsidRDefault="00B37862" w:rsidP="00B37862">
      <w:pPr>
        <w:pStyle w:val="a9"/>
        <w:spacing w:after="0" w:line="360" w:lineRule="auto"/>
        <w:jc w:val="both"/>
        <w:rPr>
          <w:rFonts w:ascii="David" w:hAnsi="David" w:cs="David"/>
        </w:rPr>
      </w:pPr>
    </w:p>
    <w:p w:rsidR="00B37862" w:rsidRDefault="00B37862" w:rsidP="000B015D">
      <w:pPr>
        <w:pStyle w:val="a9"/>
        <w:numPr>
          <w:ilvl w:val="0"/>
          <w:numId w:val="1"/>
        </w:numPr>
        <w:spacing w:after="0" w:line="360" w:lineRule="auto"/>
        <w:jc w:val="both"/>
        <w:rPr>
          <w:rFonts w:ascii="David" w:hAnsi="David" w:cs="David"/>
          <w:rtl/>
        </w:rPr>
      </w:pPr>
      <w:r>
        <w:rPr>
          <w:rFonts w:ascii="David" w:hAnsi="David" w:cs="David"/>
          <w:rtl/>
        </w:rPr>
        <w:t xml:space="preserve">ידועה לכל העובדה כי הדירה לא נכללה בעיזבון </w:t>
      </w:r>
      <w:r w:rsidR="00D306D4">
        <w:rPr>
          <w:rFonts w:ascii="David" w:hAnsi="David" w:cs="David" w:hint="cs"/>
          <w:rtl/>
        </w:rPr>
        <w:t>ה</w:t>
      </w:r>
      <w:r>
        <w:rPr>
          <w:rFonts w:ascii="David" w:hAnsi="David" w:cs="David"/>
          <w:rtl/>
        </w:rPr>
        <w:t>מנוחה היות שהתובעות רכשו את הדירה במלו</w:t>
      </w:r>
      <w:r w:rsidR="00A567BB">
        <w:rPr>
          <w:rFonts w:ascii="David" w:hAnsi="David" w:cs="David"/>
          <w:rtl/>
        </w:rPr>
        <w:t xml:space="preserve">אה, דבר שידוע הן </w:t>
      </w:r>
      <w:r w:rsidR="00A567BB">
        <w:rPr>
          <w:rFonts w:ascii="David" w:hAnsi="David" w:cs="David" w:hint="cs"/>
          <w:rtl/>
        </w:rPr>
        <w:t>ל</w:t>
      </w:r>
      <w:r w:rsidR="000B015D">
        <w:rPr>
          <w:rFonts w:ascii="David" w:hAnsi="David" w:cs="David"/>
          <w:rtl/>
        </w:rPr>
        <w:t>חברת עמיגור ו</w:t>
      </w:r>
      <w:r w:rsidR="000B015D">
        <w:rPr>
          <w:rFonts w:ascii="David" w:hAnsi="David" w:cs="David" w:hint="cs"/>
          <w:rtl/>
        </w:rPr>
        <w:t>הן</w:t>
      </w:r>
      <w:r>
        <w:rPr>
          <w:rFonts w:ascii="David" w:hAnsi="David" w:cs="David"/>
          <w:rtl/>
        </w:rPr>
        <w:t xml:space="preserve"> לאחיות המנוחה ובוודאי </w:t>
      </w:r>
      <w:r w:rsidR="00252E39">
        <w:rPr>
          <w:rFonts w:ascii="David" w:hAnsi="David" w:cs="David" w:hint="cs"/>
          <w:rtl/>
        </w:rPr>
        <w:t>ש</w:t>
      </w:r>
      <w:r>
        <w:rPr>
          <w:rFonts w:ascii="David" w:hAnsi="David" w:cs="David"/>
          <w:rtl/>
        </w:rPr>
        <w:t>לנתבעים.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לאחר פטירת המנוחה התגלע סכסוך בין האחים באשר לדירה, אך גם בעת הזו הנתבעים 1 ו-3 לא מערערים על זכויותיהם בדירה.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בשיחות טלפוניות שהתקיימו בין התובעות 2 ו-4 לבין הנתבע 2 עלה כי אף הוא יודע כי אינו זכאי לזכויות בדירה, אך הוא קיווה לשכנע את המנוחה טרם פטירתה לכך שהוא זכאי לחלק מהבעלות בדירה.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נראה כי הנתבע 2 מנסה בכל דרך לקבל חלק מזכויות התובעות בדירה, תוך ניצול מות המנוחה, אגב יצירת מחלוקות בין הצדדים.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הנתבע 2 ויתר על זכויותיו בשעה שיכול היה לקבל הלוואות מבני משפחתו, לא עולה על הדעת שחשב לנצל את היותו מאחורי סורג ובריח בשביל להפעיל מניפולציות על התובעות אשר יגרמו להן לתת מזכויותיהן.</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בית המשפט מתבקש ליתן פסק דין בו הוא מורה כי הדירה הינה בבעלות התובעות 1-4 בחלקים שווים ואינה נכללת בעיזבון המנוחה.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יש לחייב את הנתבע 2 בהוצאותיהן של התובעות בגין הגשת תביעה זו, בתוספת שכ"ט עו"ד בתוספת מע"מ.</w:t>
      </w:r>
    </w:p>
    <w:p w:rsidR="00B37862" w:rsidRDefault="00B37862" w:rsidP="00B37862">
      <w:pPr>
        <w:pStyle w:val="a9"/>
        <w:spacing w:line="360" w:lineRule="auto"/>
        <w:rPr>
          <w:rFonts w:ascii="David" w:hAnsi="David" w:cs="David"/>
        </w:rPr>
      </w:pPr>
    </w:p>
    <w:p w:rsidR="00B37862" w:rsidRDefault="00B37862" w:rsidP="00B37862">
      <w:pPr>
        <w:spacing w:line="360" w:lineRule="auto"/>
        <w:jc w:val="both"/>
        <w:rPr>
          <w:rFonts w:ascii="David" w:hAnsi="David"/>
          <w:b/>
          <w:bCs/>
          <w:u w:val="single"/>
          <w:rtl/>
        </w:rPr>
      </w:pPr>
      <w:r>
        <w:rPr>
          <w:rFonts w:ascii="David" w:hAnsi="David"/>
          <w:b/>
          <w:bCs/>
          <w:u w:val="single"/>
          <w:rtl/>
        </w:rPr>
        <w:t>עיקר טענות הנתבעים 2-3</w:t>
      </w:r>
    </w:p>
    <w:p w:rsidR="00B37862" w:rsidRDefault="00B37862" w:rsidP="00B37862">
      <w:pPr>
        <w:spacing w:line="360" w:lineRule="auto"/>
        <w:jc w:val="both"/>
        <w:rPr>
          <w:rFonts w:ascii="David" w:hAnsi="David"/>
          <w:u w:val="single"/>
          <w:rtl/>
        </w:rPr>
      </w:pPr>
    </w:p>
    <w:p w:rsidR="00B37862" w:rsidRDefault="00B37862" w:rsidP="00B37862">
      <w:pPr>
        <w:spacing w:line="360" w:lineRule="auto"/>
        <w:ind w:left="360"/>
        <w:jc w:val="both"/>
        <w:rPr>
          <w:rFonts w:ascii="David" w:hAnsi="David"/>
          <w:rtl/>
        </w:rPr>
      </w:pPr>
      <w:r>
        <w:rPr>
          <w:rFonts w:ascii="David" w:hAnsi="David"/>
          <w:b/>
          <w:bCs/>
          <w:u w:val="single"/>
          <w:rtl/>
        </w:rPr>
        <w:t>הערה</w:t>
      </w:r>
      <w:r>
        <w:rPr>
          <w:rFonts w:ascii="David" w:hAnsi="David"/>
          <w:rtl/>
        </w:rPr>
        <w:t>: הנתבעים 2-3 הגישו כתבי הגנה נפרדים, יחד עם זאת לאור הדמיון בטענותיהם, יפורטו להלן טענותיהם יחד.</w:t>
      </w:r>
    </w:p>
    <w:p w:rsidR="00B37862" w:rsidRDefault="00B37862" w:rsidP="00B37862">
      <w:pPr>
        <w:spacing w:line="360" w:lineRule="auto"/>
        <w:jc w:val="both"/>
        <w:rPr>
          <w:rFonts w:ascii="David" w:hAnsi="David"/>
          <w:rtl/>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התביעה הינה ביטוי לשימוש לרעה בהליכי משפט וניצול דלתותיו הפתוחות של בית המשפט לענייני משפחה.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התובעות גיבשו החלטה להפעיל לחץ על הנתבעים כדי למנוע מהם לקבל את חלקם בירושה על-פי הדין, כל זאת תוך שימוש במניפולציות.</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התובעות ביחד ולחוד לקחו על עצמן סיכון כששילמו את הכספים לקניית הדירה, תוך ידיעה שהמנוחה לא ערכה צוואה ואין להן להלין אלא על עצמן.</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היו צריכות להחתים את הנתבעים טרם תשלומי הכספים</w:t>
      </w:r>
      <w:r w:rsidR="004075AC">
        <w:rPr>
          <w:rFonts w:ascii="David" w:hAnsi="David" w:cs="David" w:hint="cs"/>
          <w:rtl/>
        </w:rPr>
        <w:t>,</w:t>
      </w:r>
      <w:r>
        <w:rPr>
          <w:rFonts w:ascii="David" w:hAnsi="David" w:cs="David"/>
          <w:rtl/>
        </w:rPr>
        <w:t xml:space="preserve"> שכן ידעו כי בהעדר צוואה, שאר האחים יקבלו את חלקם כחוק.</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אף לקחו סיכון בכך שהמנוחה הייתה יכולה לערוך צוואה ובה לצוות את הדירה לכל הילדים למרות שרק חלק שילמו את התמורה.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ידעו שמדובר בדירה שעתידה להניב פירות בדמות של כספים רבים, דבר שאכן קרה, משכך הבינו התובעות שמדובר בעסקה כדאית שגם אם יקבלו את חלקן היחסי בדירה עם שאר האחים והאחיות, ייצאו הן ברווח מהשקעתן.</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מתמלול השיחות עולה כי הופעל לחץ בלתי הוגן על המנוחה בניסיון להחתים אותה על צוואה והניסיון לא צלח. כמו כן עולה כי הופעל לחץ בלתי הוגן על נתבע 2 שיחתום על הודעת ההסתלקות וכן על שאר הנתבעים במטרה שיוותרו על חלקם.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הגישו בקשה לצו ירושה בפני רשם הירושה, ללא צירוף הודעת הסתלקות ו/או ויתור מטעם היורשים, זאת בניגוד לסעיף 72 לחוק הירושה, התשכ"ה–1965 (להלן: "</w:t>
      </w:r>
      <w:r>
        <w:rPr>
          <w:rFonts w:ascii="David" w:hAnsi="David" w:cs="David"/>
          <w:b/>
          <w:bCs/>
          <w:rtl/>
        </w:rPr>
        <w:t>חוק הירושה</w:t>
      </w:r>
      <w:r>
        <w:rPr>
          <w:rFonts w:ascii="David" w:hAnsi="David" w:cs="David"/>
          <w:rtl/>
        </w:rPr>
        <w:t>") וצריך היה להביא את הודעת ההסתלקות בהזדמנות הראשונה לרשם הירושה.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ביום 30.7.2022 נכרת הסכם בין התובעות לנתבעת 1 שכותרתו "גירעון הדירה מעזבון המנוחה" בו הוסכם כי ככל שיש לנתבעת 1 חלק בדירה, הרי שהוא יועבר לתובעות. הנתבעת 1 הייתה צריכה לחתום על תצהיר הסתלקות ולא על ההסכם שנכרת בין הצדדים.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ביום 22.7.2022 נכרת הסכם בין התובעות לנתבע 3, במסגרתו הוא ויתר על זכותו בדירה. גם נתבע 3 היה צריך לחתום על תצהיר הסתלקות ולא על חוזה כזה או אחר.</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דבר זה מעורר פליאה ותהיות, ואף מעורר שאלה נוספת, מדוע הנתבעים 1 ו-3 לא חתמו על תצהיר ההסתלקות עם הגשת בקשה לצו קיום ירושה אלא רק בחלוף שנה ממועד זה.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רוצות לתקן את צו הירושה ועל כן עליהן לעמוד בתנאי סעיף 72 לחוק הירושה, במצב דברים זה על בית המשפט לבחון באופן מצטבר את תנאי ס' 6 וס' 72(א) לחוק הירושה, כאשר האינטרסים המוגנים שונים הם בכל סעיף, לעומת ס' 6 שההגנה היא על החופש והאוטונומיה של היורש שלא לקבל את שהורש לו בס' 72 האינטרסים הם של סופיות הדיון וההגנה על אינטרס ההסתמכות של צד ג'.</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ההסכמים בין התובעות לנתבעים 1 ו-3 שונים במהות: ההסכם שנערך עם נתבעת 1 מאפשר לה ביצוע קיזוז עם הוצאות התובעות בכל הקשור למנוחה, כך שנתבעת 1 תקבל כספים בעוד שנתבע 3 לא יקבל כספים כלל.</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התובעות הגישו בקשה לצו ירושה תוך העלמת הודעת ההסתלקות מטעם נתבעים 1 ו-3, דבר המצביע על שימוש לרעה בהליכי משפט ונוגד עקרונות תום הלב וניקיון כפיים.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לאור האמור, בית המשפט מתבקש לאשר את צו הירושה ו/או לחלופין היה ותהיה חלוקה עתידית בעיזבון המנוחה, ייערך בין הצדדים קיזוז בגין מכלול ההוצאות אותן הוציאו התובעות ותתבצע חלוקת כספים לכל האחים כחוק.</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הסכמת הנתבע 3 לחתום על ההסכם הייתה לאחר הפעלת לחץ במסגרת שיחות בלתי פוסקות מצד התובעות ואיומים, והנתבע 3 ניסה למנוע קרע במשפחה. </w:t>
      </w:r>
    </w:p>
    <w:p w:rsidR="00B37862" w:rsidRDefault="00B37862" w:rsidP="00B37862">
      <w:pPr>
        <w:pStyle w:val="a9"/>
        <w:spacing w:line="360" w:lineRule="auto"/>
        <w:rPr>
          <w:rFonts w:ascii="David" w:hAnsi="David" w:cs="David"/>
          <w:highlight w:val="yellow"/>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עם קבלת הסכמתו בחודש יוני 2022 יצר עורך דין קשר עם הנתבע 3 ובמסגרת ההתכתבות שנערכה ביניהם שאל הנתבע 3 למה הנתבעת 1 לא כלולה בהסכם. עוה"ד השיב לו כי קיים אותו הסכם גם מול הנתבעת 1. עוה"ד חזר על כך מספר פעמים, כפי שעולה מההתכתבויות. </w:t>
      </w:r>
    </w:p>
    <w:p w:rsidR="00B37862" w:rsidRDefault="00B37862" w:rsidP="00B37862">
      <w:pPr>
        <w:pStyle w:val="a9"/>
        <w:spacing w:line="360" w:lineRule="auto"/>
        <w:rPr>
          <w:rFonts w:ascii="David" w:hAnsi="David" w:cs="David"/>
          <w:highlight w:val="yellow"/>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בהמשך, נשלח אל הנתבע 3 הסכם עם מועד שונה, קרי 11.2.22 במקום 22.7.22. לאחר תיקון חתם הנתבע 3 על ההסכם. בפועל, ההסכם שנחתם עם הנתבע 3 שונה במהות ובתכלית מההסכם שנחתם עם הנתבעת 1 ובכך נתבע 3 הוטעה על-ידי עוה"ד והתובעות באופן מכוון. מדובר בקבלת דבר במרמה או בתחבולה.</w:t>
      </w:r>
    </w:p>
    <w:p w:rsidR="00B37862" w:rsidRDefault="00B37862" w:rsidP="00B37862">
      <w:pPr>
        <w:pStyle w:val="a9"/>
        <w:spacing w:line="360" w:lineRule="auto"/>
        <w:rPr>
          <w:rFonts w:ascii="David" w:hAnsi="David" w:cs="David"/>
          <w:highlight w:val="yellow"/>
        </w:rPr>
      </w:pPr>
    </w:p>
    <w:p w:rsidR="00B37862" w:rsidRDefault="00B37862" w:rsidP="00B37862">
      <w:pPr>
        <w:spacing w:line="360" w:lineRule="auto"/>
        <w:jc w:val="both"/>
        <w:rPr>
          <w:rFonts w:ascii="David" w:hAnsi="David"/>
          <w:b/>
          <w:bCs/>
          <w:u w:val="single"/>
          <w:rtl/>
        </w:rPr>
      </w:pPr>
      <w:r>
        <w:rPr>
          <w:rFonts w:ascii="David" w:hAnsi="David"/>
          <w:b/>
          <w:bCs/>
          <w:u w:val="single"/>
          <w:rtl/>
        </w:rPr>
        <w:t>הערה</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הנתבעת 1 לא הגישה כתב הגנה על אף שהוכח לפניי כי בוצעה מסירה כדין וחלף המועד.</w:t>
      </w:r>
    </w:p>
    <w:p w:rsidR="00B37862" w:rsidRDefault="00B37862" w:rsidP="00B37862">
      <w:pPr>
        <w:pStyle w:val="a9"/>
        <w:spacing w:after="0" w:line="360" w:lineRule="auto"/>
        <w:jc w:val="both"/>
        <w:rPr>
          <w:rFonts w:ascii="David" w:hAnsi="David" w:cs="David"/>
        </w:rPr>
      </w:pPr>
    </w:p>
    <w:p w:rsidR="00B37862" w:rsidRDefault="00B37862" w:rsidP="00B37862">
      <w:pPr>
        <w:spacing w:line="360" w:lineRule="auto"/>
        <w:jc w:val="both"/>
        <w:rPr>
          <w:rFonts w:ascii="David" w:hAnsi="David"/>
          <w:b/>
          <w:bCs/>
          <w:u w:val="single"/>
          <w:rtl/>
        </w:rPr>
      </w:pPr>
      <w:r>
        <w:rPr>
          <w:rFonts w:ascii="David" w:hAnsi="David"/>
          <w:b/>
          <w:bCs/>
          <w:u w:val="single"/>
          <w:rtl/>
        </w:rPr>
        <w:lastRenderedPageBreak/>
        <w:t>עמדת ב"כ היועמ"ש</w:t>
      </w:r>
    </w:p>
    <w:p w:rsidR="00B37862" w:rsidRDefault="00B37862" w:rsidP="00B37862">
      <w:pPr>
        <w:spacing w:line="360" w:lineRule="auto"/>
        <w:jc w:val="both"/>
        <w:rPr>
          <w:rFonts w:ascii="David" w:hAnsi="David"/>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ב"כ היועמ"ש הודיעה שהואיל והצדדים כשירים ובגירים לא תתערב בהליך זה. יחד עם זאת, הוסיפה כי צו ירושה הינו צו הצהרתי המכריז מי הם יורשיו של אדם ואינו מתייחס או מחריג נכס כזה או אחר מנכסי העיזבון ובכל מקרה ככל שמי מהיורשים מעוניין להסתלק מחלקו, יש להגיש בקשה לתיקון צו ירושה ולהוכיח כי הבקשה עומדת בתנאי סעיף 72 לחוק הירושה. מעשה הסתלקות הינו מכלל נכסי העיזבון וכן מזכויות אשר מגיעות ו/או יגיעו לעיזבון גם מכוח עיזבונות אחרים בעתיד.</w:t>
      </w:r>
    </w:p>
    <w:p w:rsidR="00B37862" w:rsidRDefault="00B37862" w:rsidP="00B37862">
      <w:pPr>
        <w:pStyle w:val="a9"/>
        <w:spacing w:after="0" w:line="360" w:lineRule="auto"/>
        <w:jc w:val="both"/>
        <w:rPr>
          <w:rFonts w:ascii="David" w:hAnsi="David" w:cs="David"/>
        </w:rPr>
      </w:pPr>
    </w:p>
    <w:p w:rsidR="00B37862" w:rsidRDefault="00B37862" w:rsidP="00B37862">
      <w:pPr>
        <w:spacing w:line="360" w:lineRule="auto"/>
        <w:jc w:val="both"/>
        <w:rPr>
          <w:rFonts w:ascii="David" w:hAnsi="David"/>
          <w:b/>
          <w:bCs/>
          <w:u w:val="single"/>
          <w:rtl/>
        </w:rPr>
      </w:pPr>
      <w:r>
        <w:rPr>
          <w:rFonts w:ascii="David" w:hAnsi="David"/>
          <w:b/>
          <w:bCs/>
          <w:u w:val="single"/>
          <w:rtl/>
        </w:rPr>
        <w:t>התפתחות דיונית</w:t>
      </w:r>
    </w:p>
    <w:p w:rsidR="00B37862" w:rsidRDefault="00B37862" w:rsidP="00B37862">
      <w:pPr>
        <w:pStyle w:val="a9"/>
        <w:spacing w:after="0" w:line="360" w:lineRule="auto"/>
        <w:jc w:val="both"/>
        <w:rPr>
          <w:rFonts w:ascii="David" w:hAnsi="David" w:cs="David"/>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בדיון קדם משפט שהתקיים ביום 6.5.24, הגיעו הצדדים להסכמה דיונית אשר לפיה בהעדר מחלוקת עובדתית, ההליך יוכרע על יסוד החומר המונח בפני ביהמ"ש ועל יסוד סיכומים.</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כפועל יוצא מהסכמה זו, נקבע מועד לדיון נוסף ליום 17.7.24, במסגרתו הצדדים סיכמו את טיעוניהם בעל-פה.</w:t>
      </w:r>
    </w:p>
    <w:p w:rsidR="00B37862" w:rsidRDefault="00B37862" w:rsidP="00B37862">
      <w:pPr>
        <w:spacing w:line="360" w:lineRule="auto"/>
        <w:jc w:val="both"/>
        <w:rPr>
          <w:rFonts w:ascii="David" w:hAnsi="David"/>
        </w:rPr>
      </w:pPr>
    </w:p>
    <w:p w:rsidR="00B37862" w:rsidRDefault="00B37862" w:rsidP="00B37862">
      <w:pPr>
        <w:spacing w:line="360" w:lineRule="auto"/>
        <w:jc w:val="both"/>
        <w:rPr>
          <w:rFonts w:ascii="David" w:hAnsi="David"/>
          <w:b/>
          <w:bCs/>
          <w:u w:val="single"/>
          <w:rtl/>
        </w:rPr>
      </w:pPr>
      <w:r>
        <w:rPr>
          <w:rFonts w:ascii="David" w:hAnsi="David"/>
          <w:b/>
          <w:bCs/>
          <w:u w:val="single"/>
          <w:rtl/>
        </w:rPr>
        <w:t>הכרעה</w:t>
      </w:r>
    </w:p>
    <w:p w:rsidR="00B37862" w:rsidRDefault="00B37862" w:rsidP="00B37862">
      <w:pPr>
        <w:spacing w:line="360" w:lineRule="auto"/>
        <w:jc w:val="both"/>
        <w:rPr>
          <w:rFonts w:ascii="David" w:hAnsi="David"/>
          <w:rtl/>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לאחר עיון במלוא התשתית הראייתית, הגעתי למסקנה כי דין התביעה להתקבל.</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lastRenderedPageBreak/>
        <w:t>בשים לב לעובדה כי בין התובעות לנתבעים 1 ו-3 נערכו הסכמים ולעובדה כי הנתבעת 1 לא הגישה כתב הגנה ואף לא התייצבה לדיונים, יש צורך במתן הכרעה נפרדת ביחס לכל אחד מהנתבעים, כאשר הנימוקים ביחס לנתבע 2 כוחם יפה גם ביחס לנתבעים 1 ו-3 וכשהם מתווספים ליתר הנימוקים שיפורטו להלן בעניין נתבעים אלה.</w:t>
      </w:r>
    </w:p>
    <w:p w:rsidR="00B37862" w:rsidRDefault="00B37862" w:rsidP="00B37862">
      <w:pPr>
        <w:pStyle w:val="a9"/>
        <w:spacing w:line="360" w:lineRule="auto"/>
        <w:rPr>
          <w:rFonts w:ascii="David" w:hAnsi="David" w:cs="David"/>
        </w:rPr>
      </w:pPr>
    </w:p>
    <w:p w:rsidR="00B37862" w:rsidRDefault="00B37862" w:rsidP="00B37862">
      <w:pPr>
        <w:spacing w:line="360" w:lineRule="auto"/>
        <w:jc w:val="both"/>
        <w:rPr>
          <w:rFonts w:ascii="David" w:hAnsi="David"/>
          <w:u w:val="single"/>
          <w:rtl/>
        </w:rPr>
      </w:pPr>
      <w:r>
        <w:rPr>
          <w:rFonts w:ascii="David" w:hAnsi="David"/>
          <w:u w:val="single"/>
          <w:rtl/>
        </w:rPr>
        <w:t>הנתבעת 1</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הנתבעת 1 לא הגישה כתב הגנה על אף שהוכח לפניי כי בוצעה לידיה מסירה כדין. </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 xml:space="preserve">הנתבעת 1 לא גם לא התייצבה למי מהדיונים. </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במצב דברים זה, אין כל מניעה ליתן כנגד הנתבעת 1 פסק דין הן בהעדר הגנה מכוח תקנה 130 לתקנות סדר הדין האזרחי, התשע"ט–2018 (להלן: "</w:t>
      </w:r>
      <w:r>
        <w:rPr>
          <w:rFonts w:ascii="David" w:hAnsi="David" w:cs="David"/>
          <w:b/>
          <w:bCs/>
          <w:rtl/>
        </w:rPr>
        <w:t>התקנות</w:t>
      </w:r>
      <w:r>
        <w:rPr>
          <w:rFonts w:ascii="David" w:hAnsi="David" w:cs="David"/>
          <w:rtl/>
        </w:rPr>
        <w:t>") והן בהעדר התייצבות מכוח תקנה 75 (2) לתקנות, הקובעת כך: "</w:t>
      </w:r>
      <w:r>
        <w:rPr>
          <w:rFonts w:ascii="David" w:hAnsi="David" w:cs="David"/>
          <w:b/>
          <w:bCs/>
          <w:rtl/>
        </w:rPr>
        <w:t>לא התייצב הנתבע והתובע התייצב, רשאי התובע להוכיח את תביעתו, ויהיה זכאי לסעד שביקש לפי הראיות שהתקבלו</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לעניין חובת התובעות להוכיח את תביעתן בכל הנוגע לנתבעת 1 ייאמר כי די לעיין בהסכם שנכרת בין התובעות לנתבעת 1 ביום 30.7.22 </w:t>
      </w:r>
      <w:r>
        <w:rPr>
          <w:rFonts w:ascii="David" w:hAnsi="David" w:cs="David"/>
          <w:b/>
          <w:bCs/>
          <w:rtl/>
        </w:rPr>
        <w:t>ראו: נספח 7 לכתב התביעה</w:t>
      </w:r>
      <w:r>
        <w:rPr>
          <w:rFonts w:ascii="David" w:hAnsi="David" w:cs="David"/>
          <w:rtl/>
        </w:rPr>
        <w:t xml:space="preserve"> כדי להגיע למסקנה כי התובעות עמדו בנטל ההוכחה. בהסכם זה הוסכם, בין היתר, כי:</w:t>
      </w:r>
    </w:p>
    <w:p w:rsidR="00B37862" w:rsidRDefault="00B37862" w:rsidP="00B37862">
      <w:pPr>
        <w:pStyle w:val="a9"/>
        <w:spacing w:line="360" w:lineRule="auto"/>
        <w:rPr>
          <w:rFonts w:ascii="David" w:hAnsi="David" w:cs="David"/>
        </w:rPr>
      </w:pPr>
    </w:p>
    <w:p w:rsidR="00B37862" w:rsidRDefault="00B37862" w:rsidP="00B37862">
      <w:pPr>
        <w:spacing w:line="360" w:lineRule="auto"/>
        <w:ind w:left="1133" w:right="1134"/>
        <w:jc w:val="both"/>
        <w:rPr>
          <w:rFonts w:ascii="David" w:hAnsi="David"/>
          <w:rtl/>
        </w:rPr>
      </w:pPr>
      <w:r>
        <w:rPr>
          <w:rFonts w:ascii="David" w:hAnsi="David"/>
          <w:rtl/>
        </w:rPr>
        <w:lastRenderedPageBreak/>
        <w:t>"...</w:t>
      </w:r>
      <w:r>
        <w:rPr>
          <w:rFonts w:ascii="David" w:hAnsi="David"/>
          <w:b/>
          <w:bCs/>
          <w:rtl/>
        </w:rPr>
        <w:t>והואיל:</w:t>
      </w:r>
      <w:r>
        <w:rPr>
          <w:rFonts w:ascii="David" w:hAnsi="David"/>
          <w:rtl/>
        </w:rPr>
        <w:t xml:space="preserve"> [ההדגשה במקור – פ"ג] והדירה נרכשה על ידי הבנות המתוארות לעיל, בהסכמת הצדדים ובידיעתם ומתוך מודעות מוחלטת כי הבעלות עליה תועבר לבנות הרוכשות במלואה ובהתאם לחלק היחסי אותו השקיעה כל אחת מהן לצורך רכישת הדירה.</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b/>
          <w:bCs/>
          <w:rtl/>
        </w:rPr>
        <w:t>והואיל:</w:t>
      </w:r>
      <w:r>
        <w:rPr>
          <w:rFonts w:ascii="David" w:hAnsi="David"/>
          <w:rtl/>
        </w:rPr>
        <w:t xml:space="preserve"> [ההדגשה במקור – פ"ג] והצדדים להסכם זה מצהירים בזאת כי הדירה המתוארת אמנם רשומה ונרכשה על שמה של האם המנוחה, אך בפועל הינה בבעלותן של הבנות הרוכשות בחלקים שווים..." </w:t>
      </w:r>
    </w:p>
    <w:p w:rsidR="00B37862" w:rsidRDefault="00B37862" w:rsidP="00B37862">
      <w:pPr>
        <w:spacing w:line="360" w:lineRule="auto"/>
        <w:ind w:left="1133" w:right="1134"/>
        <w:jc w:val="both"/>
        <w:rPr>
          <w:rFonts w:ascii="David" w:hAnsi="David"/>
          <w:b/>
          <w:bCs/>
          <w:rtl/>
        </w:rPr>
      </w:pPr>
    </w:p>
    <w:p w:rsidR="00B37862" w:rsidRDefault="00B37862" w:rsidP="00B37862">
      <w:pPr>
        <w:spacing w:line="360" w:lineRule="auto"/>
        <w:ind w:left="1133" w:right="1134"/>
        <w:jc w:val="both"/>
        <w:rPr>
          <w:rFonts w:ascii="David" w:hAnsi="David"/>
          <w:b/>
          <w:bCs/>
          <w:rtl/>
        </w:rPr>
      </w:pPr>
      <w:r>
        <w:rPr>
          <w:rFonts w:ascii="David" w:hAnsi="David"/>
          <w:b/>
          <w:bCs/>
          <w:rtl/>
        </w:rPr>
        <w:t xml:space="preserve">ראו: עמ' 41 לנספחי כתב התביעה </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w:t>
      </w:r>
      <w:r>
        <w:rPr>
          <w:rFonts w:ascii="David" w:hAnsi="David"/>
          <w:b/>
          <w:bCs/>
          <w:rtl/>
        </w:rPr>
        <w:t>והואיל:</w:t>
      </w:r>
      <w:r>
        <w:rPr>
          <w:rFonts w:ascii="David" w:hAnsi="David"/>
          <w:rtl/>
        </w:rPr>
        <w:t xml:space="preserve"> [ההדגשה במקור – פ"ג] ובכוונת הצדדים להגיש הסכם זה ללשכת רישום המקרקעין המוסמכת על מנת להסדיר את רישום הנכס על שם הבנות הרוכשות בהתאם לחלקן היחסי ועל פי הקבוע בהסכם זה..."</w:t>
      </w:r>
    </w:p>
    <w:p w:rsidR="00B37862" w:rsidRDefault="00B37862" w:rsidP="00B37862">
      <w:pPr>
        <w:spacing w:line="360" w:lineRule="auto"/>
        <w:ind w:left="1133" w:right="1134"/>
        <w:jc w:val="both"/>
        <w:rPr>
          <w:rFonts w:ascii="David" w:hAnsi="David"/>
          <w:b/>
          <w:bCs/>
          <w:rtl/>
        </w:rPr>
      </w:pPr>
    </w:p>
    <w:p w:rsidR="00B37862" w:rsidRDefault="00B37862" w:rsidP="00B37862">
      <w:pPr>
        <w:spacing w:line="360" w:lineRule="auto"/>
        <w:ind w:left="1133" w:right="1134"/>
        <w:jc w:val="both"/>
        <w:rPr>
          <w:rFonts w:ascii="David" w:hAnsi="David"/>
          <w:b/>
          <w:bCs/>
          <w:rtl/>
        </w:rPr>
      </w:pPr>
      <w:r>
        <w:rPr>
          <w:rFonts w:ascii="David" w:hAnsi="David"/>
          <w:b/>
          <w:bCs/>
          <w:rtl/>
        </w:rPr>
        <w:t>ראו: עמ' 42 לנספחי כתב התביעה</w:t>
      </w:r>
    </w:p>
    <w:p w:rsidR="00B37862" w:rsidRDefault="00B37862" w:rsidP="00B37862">
      <w:pPr>
        <w:spacing w:line="360" w:lineRule="auto"/>
        <w:ind w:left="1133" w:right="1134"/>
        <w:jc w:val="both"/>
        <w:rPr>
          <w:rFonts w:ascii="David" w:hAnsi="David"/>
          <w:u w:val="single"/>
          <w:rtl/>
        </w:rPr>
      </w:pPr>
    </w:p>
    <w:p w:rsidR="00B37862" w:rsidRDefault="00B37862" w:rsidP="00B37862">
      <w:pPr>
        <w:spacing w:line="360" w:lineRule="auto"/>
        <w:ind w:left="1133" w:right="1134"/>
        <w:jc w:val="both"/>
        <w:rPr>
          <w:rFonts w:ascii="David" w:hAnsi="David"/>
          <w:rtl/>
        </w:rPr>
      </w:pPr>
      <w:r>
        <w:rPr>
          <w:rFonts w:ascii="David" w:hAnsi="David"/>
          <w:rtl/>
        </w:rPr>
        <w:t xml:space="preserve">"...2. </w:t>
      </w:r>
      <w:r>
        <w:rPr>
          <w:rFonts w:ascii="David" w:hAnsi="David"/>
          <w:b/>
          <w:bCs/>
          <w:u w:val="single"/>
          <w:rtl/>
        </w:rPr>
        <w:t>גריעת הדירה מעזבון המנוחה</w:t>
      </w:r>
      <w:r>
        <w:rPr>
          <w:rFonts w:ascii="David" w:hAnsi="David"/>
          <w:rtl/>
        </w:rPr>
        <w:t xml:space="preserve"> [ההדגשה במקור – פ"ג]</w:t>
      </w:r>
    </w:p>
    <w:p w:rsidR="00B37862" w:rsidRDefault="00B37862" w:rsidP="00B37862">
      <w:pPr>
        <w:spacing w:line="360" w:lineRule="auto"/>
        <w:ind w:left="1133" w:right="1134"/>
        <w:jc w:val="both"/>
        <w:rPr>
          <w:rFonts w:ascii="David" w:hAnsi="David"/>
          <w:rtl/>
        </w:rPr>
      </w:pPr>
    </w:p>
    <w:p w:rsidR="00B37862" w:rsidRDefault="00B37862" w:rsidP="004075AC">
      <w:pPr>
        <w:spacing w:line="360" w:lineRule="auto"/>
        <w:ind w:left="1133" w:right="1134"/>
        <w:jc w:val="both"/>
        <w:rPr>
          <w:rFonts w:ascii="David" w:hAnsi="David"/>
          <w:rtl/>
        </w:rPr>
      </w:pPr>
      <w:r>
        <w:rPr>
          <w:rFonts w:ascii="David" w:hAnsi="David"/>
          <w:rtl/>
        </w:rPr>
        <w:t xml:space="preserve">3. מוסכם בין הצדדים להסכם זה כי דירת המגורים הידועה כגוש </w:t>
      </w:r>
      <w:r w:rsidR="004075AC">
        <w:rPr>
          <w:rFonts w:ascii="David" w:hAnsi="David" w:hint="cs"/>
          <w:rtl/>
        </w:rPr>
        <w:t>***</w:t>
      </w:r>
      <w:r>
        <w:rPr>
          <w:rFonts w:ascii="David" w:hAnsi="David"/>
          <w:rtl/>
        </w:rPr>
        <w:t xml:space="preserve"> חלקה </w:t>
      </w:r>
      <w:r w:rsidR="004075AC">
        <w:rPr>
          <w:rFonts w:ascii="David" w:hAnsi="David" w:hint="cs"/>
          <w:rtl/>
        </w:rPr>
        <w:t>***</w:t>
      </w:r>
      <w:r>
        <w:rPr>
          <w:rFonts w:ascii="David" w:hAnsi="David"/>
          <w:rtl/>
        </w:rPr>
        <w:t xml:space="preserve"> ונמצאת ברחוב </w:t>
      </w:r>
      <w:r w:rsidR="004075AC">
        <w:rPr>
          <w:rFonts w:ascii="David" w:hAnsi="David" w:hint="cs"/>
          <w:rtl/>
        </w:rPr>
        <w:t>***</w:t>
      </w:r>
      <w:r>
        <w:rPr>
          <w:rFonts w:ascii="David" w:hAnsi="David"/>
          <w:rtl/>
        </w:rPr>
        <w:t xml:space="preserve"> ב</w:t>
      </w:r>
      <w:r w:rsidR="004075AC">
        <w:rPr>
          <w:rFonts w:ascii="David" w:hAnsi="David" w:hint="cs"/>
          <w:rtl/>
        </w:rPr>
        <w:t>***</w:t>
      </w:r>
      <w:r>
        <w:rPr>
          <w:rFonts w:ascii="David" w:hAnsi="David"/>
          <w:rtl/>
        </w:rPr>
        <w:t xml:space="preserve"> נרכשה כולה באמצעות הבנות הרוכשות ואינה כלולה בעיזבון המנוחה..."</w:t>
      </w:r>
    </w:p>
    <w:p w:rsidR="00B37862" w:rsidRDefault="00B37862" w:rsidP="00B37862">
      <w:pPr>
        <w:spacing w:line="360" w:lineRule="auto"/>
        <w:ind w:left="1133" w:right="1134"/>
        <w:jc w:val="both"/>
        <w:rPr>
          <w:rFonts w:ascii="David" w:hAnsi="David"/>
          <w:b/>
          <w:bCs/>
          <w:rtl/>
        </w:rPr>
      </w:pPr>
    </w:p>
    <w:p w:rsidR="00B37862" w:rsidRDefault="00B37862" w:rsidP="00B37862">
      <w:pPr>
        <w:spacing w:line="360" w:lineRule="auto"/>
        <w:ind w:left="1133" w:right="1134"/>
        <w:jc w:val="both"/>
        <w:rPr>
          <w:rFonts w:ascii="David" w:hAnsi="David"/>
          <w:b/>
          <w:bCs/>
          <w:rtl/>
        </w:rPr>
      </w:pPr>
      <w:r>
        <w:rPr>
          <w:rFonts w:ascii="David" w:hAnsi="David"/>
          <w:b/>
          <w:bCs/>
          <w:rtl/>
        </w:rPr>
        <w:lastRenderedPageBreak/>
        <w:t>ראו: עמ' 42 לנספחי כתב התביעה</w:t>
      </w:r>
    </w:p>
    <w:p w:rsidR="00B37862" w:rsidRDefault="00B37862" w:rsidP="00B37862">
      <w:pPr>
        <w:spacing w:line="360" w:lineRule="auto"/>
        <w:ind w:left="1133" w:right="1134"/>
        <w:jc w:val="both"/>
        <w:rPr>
          <w:rFonts w:ascii="David" w:hAnsi="David"/>
          <w:u w:val="single"/>
          <w:rtl/>
        </w:rPr>
      </w:pPr>
    </w:p>
    <w:p w:rsidR="00B37862" w:rsidRDefault="00B37862" w:rsidP="00B37862">
      <w:pPr>
        <w:spacing w:line="360" w:lineRule="auto"/>
        <w:ind w:left="1133" w:right="1134"/>
        <w:jc w:val="both"/>
        <w:rPr>
          <w:rFonts w:ascii="David" w:hAnsi="David"/>
          <w:rtl/>
        </w:rPr>
      </w:pPr>
      <w:r>
        <w:rPr>
          <w:rFonts w:ascii="David" w:hAnsi="David"/>
          <w:rtl/>
        </w:rPr>
        <w:t>"...8. הצדדים להסכם זה מסכימים ומצהירים כי רכישת הנכס לטובת האם הוצעה למכלול ילדיה של המנוחה אך רק צד ב', צד ג', צד ד', צד ה', להסכם זה, התגייסו לצורך רכישת הנכס לטובת האם.</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9. הצדדים להסכם זה מצהירים כי הוצע לצד א', להשתתף ברכישת הנכס עבור האם, אך בשל היעדר יכולת כלכלית, לא הייתה יכולה היא להשתתף ברכישת הנכס...."</w:t>
      </w:r>
    </w:p>
    <w:p w:rsidR="00B37862" w:rsidRDefault="00B37862" w:rsidP="00B37862">
      <w:pPr>
        <w:spacing w:line="360" w:lineRule="auto"/>
        <w:ind w:left="1133" w:right="1134"/>
        <w:jc w:val="both"/>
        <w:rPr>
          <w:rFonts w:ascii="David" w:hAnsi="David"/>
          <w:b/>
          <w:bCs/>
          <w:rtl/>
        </w:rPr>
      </w:pPr>
    </w:p>
    <w:p w:rsidR="00B37862" w:rsidRDefault="00B37862" w:rsidP="00B37862">
      <w:pPr>
        <w:spacing w:line="360" w:lineRule="auto"/>
        <w:ind w:left="1133" w:right="1134"/>
        <w:jc w:val="both"/>
        <w:rPr>
          <w:rFonts w:ascii="David" w:hAnsi="David"/>
          <w:b/>
          <w:bCs/>
          <w:rtl/>
        </w:rPr>
      </w:pPr>
      <w:r>
        <w:rPr>
          <w:rFonts w:ascii="David" w:hAnsi="David"/>
          <w:b/>
          <w:bCs/>
          <w:rtl/>
        </w:rPr>
        <w:t>ראו: עמ' 43 לנספחי כתב התביעה</w:t>
      </w:r>
    </w:p>
    <w:p w:rsidR="00B37862" w:rsidRDefault="00B37862" w:rsidP="00B37862">
      <w:pPr>
        <w:spacing w:line="360" w:lineRule="auto"/>
        <w:ind w:left="1133" w:right="1134"/>
        <w:jc w:val="both"/>
        <w:rPr>
          <w:rFonts w:ascii="David" w:hAnsi="David"/>
          <w:u w:val="single"/>
          <w:rtl/>
        </w:rPr>
      </w:pPr>
    </w:p>
    <w:p w:rsidR="00B37862" w:rsidRDefault="00B37862" w:rsidP="00B37862">
      <w:pPr>
        <w:spacing w:line="360" w:lineRule="auto"/>
        <w:ind w:left="1133" w:right="1134"/>
        <w:jc w:val="both"/>
        <w:rPr>
          <w:rFonts w:ascii="David" w:hAnsi="David"/>
          <w:rtl/>
        </w:rPr>
      </w:pPr>
      <w:r>
        <w:rPr>
          <w:rFonts w:ascii="David" w:hAnsi="David"/>
          <w:rtl/>
        </w:rPr>
        <w:t>"...19. הצדדים להסכם זה מסכימים בזאת, ביחוד לאור המתואר לעיל כי הנכס אשר רכשו האחיות הרוכשות לטובת האם הוא בבעלותן הבלעדית.</w:t>
      </w:r>
    </w:p>
    <w:p w:rsidR="00B37862" w:rsidRDefault="00B37862" w:rsidP="00B37862">
      <w:pPr>
        <w:spacing w:line="360" w:lineRule="auto"/>
        <w:ind w:left="1133" w:right="1134"/>
        <w:jc w:val="both"/>
        <w:rPr>
          <w:rFonts w:ascii="David" w:hAnsi="David"/>
          <w:rtl/>
        </w:rPr>
      </w:pPr>
      <w:r>
        <w:rPr>
          <w:rFonts w:ascii="David" w:hAnsi="David"/>
          <w:rtl/>
        </w:rPr>
        <w:t>[...]</w:t>
      </w:r>
    </w:p>
    <w:p w:rsidR="00B37862" w:rsidRDefault="00B37862" w:rsidP="00E34657">
      <w:pPr>
        <w:spacing w:line="360" w:lineRule="auto"/>
        <w:ind w:left="1133" w:right="1134"/>
        <w:jc w:val="both"/>
        <w:rPr>
          <w:rFonts w:ascii="David" w:hAnsi="David"/>
          <w:rtl/>
        </w:rPr>
      </w:pPr>
      <w:r>
        <w:rPr>
          <w:rFonts w:ascii="David" w:hAnsi="David"/>
          <w:rtl/>
        </w:rPr>
        <w:t xml:space="preserve">21. צד א' להסכם (להלן: הגב' </w:t>
      </w:r>
      <w:r w:rsidR="00E34657">
        <w:rPr>
          <w:rFonts w:ascii="David" w:hAnsi="David" w:hint="cs"/>
          <w:rtl/>
        </w:rPr>
        <w:t>***</w:t>
      </w:r>
      <w:r>
        <w:rPr>
          <w:rFonts w:ascii="David" w:hAnsi="David"/>
          <w:rtl/>
        </w:rPr>
        <w:t>) להסכם [</w:t>
      </w:r>
      <w:r w:rsidR="0077201A">
        <w:rPr>
          <w:rFonts w:ascii="David" w:hAnsi="David" w:hint="cs"/>
          <w:rtl/>
        </w:rPr>
        <w:t>ה</w:t>
      </w:r>
      <w:r>
        <w:rPr>
          <w:rFonts w:ascii="David" w:hAnsi="David"/>
          <w:rtl/>
        </w:rPr>
        <w:t>טעות במקור – פ"ג] מצהירה בזאת כי חלקה בנכס ככל וקיים יועבר לטובת האחיות הרוכשות בחלקים שווים.</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lastRenderedPageBreak/>
        <w:t>25. צד א' להסכם זה מצהירה בזה כי בכפוף לחתימה על הסכם זה, אין ולא תהא לה כל טענה בקשר לנכס המתואר לעיל וכי היא מודעת לעובדה כי הוא נרכש באמצעות האחיות הרוכשות וכן כי אין לה כל חלק בו.</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27. הצדדים מסכימים כי במידה וצד א' תחזור בה מן ההסכמות המנויות בהסכם זה, הרי שתקום לאחיות הרוכשות הזכות לפיצוי בגין הנזקים שייגרמו להן וכן הזכות לסעד המוקנית להן על פי כל דין..."</w:t>
      </w:r>
    </w:p>
    <w:p w:rsidR="00B37862" w:rsidRDefault="00B37862" w:rsidP="00B37862">
      <w:pPr>
        <w:spacing w:line="360" w:lineRule="auto"/>
        <w:ind w:left="1133" w:right="1134"/>
        <w:jc w:val="both"/>
        <w:rPr>
          <w:rFonts w:ascii="David" w:hAnsi="David"/>
          <w:b/>
          <w:bCs/>
          <w:rtl/>
        </w:rPr>
      </w:pPr>
    </w:p>
    <w:p w:rsidR="00B37862" w:rsidRDefault="00B37862" w:rsidP="00B37862">
      <w:pPr>
        <w:spacing w:line="360" w:lineRule="auto"/>
        <w:ind w:left="1133" w:right="1134"/>
        <w:jc w:val="both"/>
        <w:rPr>
          <w:rFonts w:ascii="David" w:hAnsi="David"/>
          <w:b/>
          <w:bCs/>
          <w:rtl/>
        </w:rPr>
      </w:pPr>
      <w:r>
        <w:rPr>
          <w:rFonts w:ascii="David" w:hAnsi="David"/>
          <w:b/>
          <w:bCs/>
          <w:rtl/>
        </w:rPr>
        <w:t>ראו: עמ' 44 לנספחי כתב התביעה</w:t>
      </w:r>
    </w:p>
    <w:p w:rsidR="00B37862" w:rsidRDefault="00B37862" w:rsidP="00B37862">
      <w:pPr>
        <w:pStyle w:val="a9"/>
        <w:spacing w:after="0" w:line="360" w:lineRule="auto"/>
        <w:jc w:val="both"/>
        <w:rPr>
          <w:rFonts w:ascii="David" w:hAnsi="David" w:cs="David"/>
          <w:rtl/>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עינינו הרואות כי המחלוקת מושא הליך זה הוסדרה בין התובעות לנתבעת 1 בהסכם מיום 30.7.22, כאשר הצדדים בהסכם זה אף הסכימו ברחל בתך הקטנה כי הדירה אינה חלק מעיזבון המנוחה.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על יסוד הסכמות אלה, כאשר לא נטען דבר כנגד ההסכם מיום 30.7.22, אני קובע כי התובעות הוכיחו את תביעתן בכל הנוגע לנתבעת 1 ואני מקבל את התביעה ביחס אליה – במלואה.</w:t>
      </w:r>
    </w:p>
    <w:p w:rsidR="00B37862" w:rsidRDefault="00B37862" w:rsidP="00B37862">
      <w:pPr>
        <w:pStyle w:val="a9"/>
        <w:spacing w:line="360" w:lineRule="auto"/>
        <w:rPr>
          <w:rFonts w:ascii="David" w:hAnsi="David" w:cs="David"/>
        </w:rPr>
      </w:pPr>
    </w:p>
    <w:p w:rsidR="00B37862" w:rsidRDefault="00B37862" w:rsidP="00B37862">
      <w:pPr>
        <w:spacing w:line="360" w:lineRule="auto"/>
        <w:jc w:val="both"/>
        <w:rPr>
          <w:rFonts w:ascii="David" w:hAnsi="David"/>
          <w:rtl/>
        </w:rPr>
      </w:pPr>
      <w:r>
        <w:rPr>
          <w:rFonts w:ascii="David" w:hAnsi="David"/>
          <w:u w:val="single"/>
          <w:rtl/>
        </w:rPr>
        <w:t>הנתבע 3</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בין התובעות לנתבע 3 נחתם הסכם מיום 22.7.22, במסגרתו הוסכם, בין היתר, כי:</w:t>
      </w:r>
    </w:p>
    <w:p w:rsidR="00B37862" w:rsidRDefault="00B37862" w:rsidP="00B37862">
      <w:pPr>
        <w:spacing w:line="360" w:lineRule="auto"/>
        <w:jc w:val="both"/>
        <w:rPr>
          <w:rFonts w:ascii="David" w:hAnsi="David"/>
        </w:rPr>
      </w:pPr>
    </w:p>
    <w:p w:rsidR="00B37862" w:rsidRDefault="00B37862" w:rsidP="00E34657">
      <w:pPr>
        <w:spacing w:line="360" w:lineRule="auto"/>
        <w:ind w:left="1133" w:right="1134"/>
        <w:jc w:val="both"/>
        <w:rPr>
          <w:rFonts w:ascii="David" w:hAnsi="David"/>
          <w:rtl/>
        </w:rPr>
      </w:pPr>
      <w:r>
        <w:rPr>
          <w:rFonts w:ascii="David" w:hAnsi="David"/>
          <w:rtl/>
        </w:rPr>
        <w:t>"...</w:t>
      </w:r>
      <w:r>
        <w:rPr>
          <w:rFonts w:ascii="David" w:hAnsi="David"/>
          <w:b/>
          <w:bCs/>
          <w:rtl/>
        </w:rPr>
        <w:t>והואיל:</w:t>
      </w:r>
      <w:r>
        <w:rPr>
          <w:rFonts w:ascii="David" w:hAnsi="David"/>
          <w:rtl/>
        </w:rPr>
        <w:t xml:space="preserve"> [ההדגשה במקור – פ"ג] והצדדים להסכם זה מסכימים להסדיר ביניהם את ויתורו של מר </w:t>
      </w:r>
      <w:r w:rsidR="00E34657">
        <w:rPr>
          <w:rFonts w:ascii="David" w:hAnsi="David" w:hint="cs"/>
          <w:rtl/>
        </w:rPr>
        <w:t>***</w:t>
      </w:r>
      <w:r>
        <w:rPr>
          <w:rFonts w:ascii="David" w:hAnsi="David"/>
          <w:rtl/>
        </w:rPr>
        <w:t xml:space="preserve"> על זכויותיו וחובותיו בכל הקשור לדירה ועזבון האם המנוחה"</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w:t>
      </w:r>
    </w:p>
    <w:p w:rsidR="00B37862" w:rsidRDefault="00B37862" w:rsidP="00B37862">
      <w:pPr>
        <w:spacing w:line="360" w:lineRule="auto"/>
        <w:ind w:left="1133" w:right="1134"/>
        <w:jc w:val="both"/>
        <w:rPr>
          <w:rFonts w:ascii="David" w:hAnsi="David"/>
          <w:rtl/>
        </w:rPr>
      </w:pPr>
      <w:r>
        <w:rPr>
          <w:rFonts w:ascii="David" w:hAnsi="David"/>
          <w:b/>
          <w:bCs/>
          <w:rtl/>
        </w:rPr>
        <w:t xml:space="preserve">והואיל: </w:t>
      </w:r>
      <w:r>
        <w:rPr>
          <w:rFonts w:ascii="David" w:hAnsi="David"/>
          <w:rtl/>
        </w:rPr>
        <w:t>[ההדגשה במקור – פ"ג] ובכוונת הצדדים להגיש הסכם זה ללשכת רישום המקרקעין המוסמכת על מנת להסדיר את רישום הנכס על שם הבנות הרוכשות בהתאם לחלקן היחסי ועל פי הקבוע בהסכם זה..."</w:t>
      </w:r>
    </w:p>
    <w:p w:rsidR="00B37862" w:rsidRDefault="00B37862" w:rsidP="00B37862">
      <w:pPr>
        <w:spacing w:line="360" w:lineRule="auto"/>
        <w:ind w:left="1133" w:right="1134"/>
        <w:jc w:val="both"/>
        <w:rPr>
          <w:rFonts w:ascii="David" w:hAnsi="David"/>
          <w:u w:val="single"/>
          <w:rtl/>
        </w:rPr>
      </w:pPr>
    </w:p>
    <w:p w:rsidR="00B37862" w:rsidRDefault="00B37862" w:rsidP="00B37862">
      <w:pPr>
        <w:spacing w:line="360" w:lineRule="auto"/>
        <w:ind w:left="1133" w:right="1134"/>
        <w:jc w:val="both"/>
        <w:rPr>
          <w:rFonts w:ascii="David" w:hAnsi="David"/>
          <w:b/>
          <w:bCs/>
          <w:rtl/>
        </w:rPr>
      </w:pPr>
      <w:r>
        <w:rPr>
          <w:rFonts w:ascii="David" w:hAnsi="David"/>
          <w:b/>
          <w:bCs/>
          <w:rtl/>
        </w:rPr>
        <w:t>ראו: עמ' 46 לנספחי כתב התביעה</w:t>
      </w:r>
    </w:p>
    <w:p w:rsidR="00B37862" w:rsidRDefault="00B37862" w:rsidP="00B37862">
      <w:pPr>
        <w:spacing w:line="360" w:lineRule="auto"/>
        <w:ind w:left="1133" w:right="1134"/>
        <w:jc w:val="both"/>
        <w:rPr>
          <w:rFonts w:ascii="David" w:hAnsi="David"/>
          <w:rtl/>
        </w:rPr>
      </w:pPr>
    </w:p>
    <w:p w:rsidR="00B37862" w:rsidRDefault="00B37862" w:rsidP="00B37862">
      <w:pPr>
        <w:spacing w:line="360" w:lineRule="auto"/>
        <w:ind w:left="1133" w:right="1134"/>
        <w:jc w:val="both"/>
        <w:rPr>
          <w:rFonts w:ascii="David" w:hAnsi="David"/>
          <w:rtl/>
        </w:rPr>
      </w:pPr>
      <w:r>
        <w:rPr>
          <w:rFonts w:ascii="David" w:hAnsi="David"/>
          <w:rtl/>
        </w:rPr>
        <w:t xml:space="preserve">"...2. </w:t>
      </w:r>
      <w:r>
        <w:rPr>
          <w:rFonts w:ascii="David" w:hAnsi="David"/>
          <w:b/>
          <w:bCs/>
          <w:u w:val="single"/>
          <w:rtl/>
        </w:rPr>
        <w:t>ויתור</w:t>
      </w:r>
      <w:r>
        <w:rPr>
          <w:rFonts w:ascii="David" w:hAnsi="David"/>
          <w:rtl/>
        </w:rPr>
        <w:t xml:space="preserve"> [ההדגשה במקור – פ"ג]</w:t>
      </w:r>
    </w:p>
    <w:p w:rsidR="00B37862" w:rsidRDefault="00B37862" w:rsidP="002305E9">
      <w:pPr>
        <w:spacing w:line="360" w:lineRule="auto"/>
        <w:ind w:left="1133" w:right="1134"/>
        <w:jc w:val="both"/>
        <w:rPr>
          <w:rFonts w:ascii="David" w:hAnsi="David"/>
          <w:rtl/>
        </w:rPr>
      </w:pPr>
      <w:r>
        <w:rPr>
          <w:rFonts w:ascii="David" w:hAnsi="David"/>
          <w:rtl/>
        </w:rPr>
        <w:t xml:space="preserve">2.1 מר </w:t>
      </w:r>
      <w:r w:rsidR="00E34657">
        <w:rPr>
          <w:rFonts w:ascii="David" w:hAnsi="David" w:hint="cs"/>
          <w:rtl/>
        </w:rPr>
        <w:t>***</w:t>
      </w:r>
      <w:r>
        <w:rPr>
          <w:rFonts w:ascii="David" w:hAnsi="David"/>
          <w:rtl/>
        </w:rPr>
        <w:t xml:space="preserve"> מצהיר בזאת כי הוא מוותר על כל זכות או חובה בקשר לדירת האם המנוחה המצויה ברחוב </w:t>
      </w:r>
      <w:r w:rsidR="002305E9">
        <w:rPr>
          <w:rFonts w:ascii="David" w:hAnsi="David" w:hint="cs"/>
          <w:rtl/>
        </w:rPr>
        <w:t>***</w:t>
      </w:r>
      <w:r>
        <w:rPr>
          <w:rFonts w:ascii="David" w:hAnsi="David"/>
          <w:rtl/>
        </w:rPr>
        <w:t xml:space="preserve"> ב</w:t>
      </w:r>
      <w:r w:rsidR="002305E9">
        <w:rPr>
          <w:rFonts w:ascii="David" w:hAnsi="David" w:hint="cs"/>
          <w:rtl/>
        </w:rPr>
        <w:t>***</w:t>
      </w:r>
      <w:r>
        <w:rPr>
          <w:rFonts w:ascii="David" w:hAnsi="David"/>
          <w:rtl/>
        </w:rPr>
        <w:t xml:space="preserve"> וידועה כגוש </w:t>
      </w:r>
      <w:r w:rsidR="002305E9">
        <w:rPr>
          <w:rFonts w:ascii="David" w:hAnsi="David" w:hint="cs"/>
          <w:rtl/>
        </w:rPr>
        <w:t>***</w:t>
      </w:r>
      <w:r>
        <w:rPr>
          <w:rFonts w:ascii="David" w:hAnsi="David"/>
          <w:rtl/>
        </w:rPr>
        <w:t xml:space="preserve"> חלקה </w:t>
      </w:r>
      <w:r w:rsidR="002305E9">
        <w:rPr>
          <w:rFonts w:ascii="David" w:hAnsi="David" w:hint="cs"/>
          <w:rtl/>
        </w:rPr>
        <w:t>***</w:t>
      </w:r>
      <w:r>
        <w:rPr>
          <w:rFonts w:ascii="David" w:hAnsi="David"/>
          <w:rtl/>
        </w:rPr>
        <w:t>.</w:t>
      </w:r>
    </w:p>
    <w:p w:rsidR="00B37862" w:rsidRDefault="00B37862" w:rsidP="00E34657">
      <w:pPr>
        <w:spacing w:line="360" w:lineRule="auto"/>
        <w:ind w:left="1133" w:right="1134"/>
        <w:jc w:val="both"/>
        <w:rPr>
          <w:rFonts w:ascii="David" w:hAnsi="David"/>
          <w:rtl/>
        </w:rPr>
      </w:pPr>
      <w:r>
        <w:rPr>
          <w:rFonts w:ascii="David" w:hAnsi="David"/>
          <w:rtl/>
        </w:rPr>
        <w:t xml:space="preserve">3. מר </w:t>
      </w:r>
      <w:r w:rsidR="00E34657">
        <w:rPr>
          <w:rFonts w:ascii="David" w:hAnsi="David" w:hint="cs"/>
          <w:rtl/>
        </w:rPr>
        <w:t>***</w:t>
      </w:r>
      <w:r>
        <w:rPr>
          <w:rFonts w:ascii="David" w:hAnsi="David"/>
          <w:rtl/>
        </w:rPr>
        <w:t xml:space="preserve"> מצהיר בזאת כי חלקו בנכס המתואר לעיל וכפי שמתואר בצו הירושה של המנוחה, יועבר באופן מלא לאחיותיו החתומות על הסכם זה בחלקים שווים.</w:t>
      </w:r>
    </w:p>
    <w:p w:rsidR="00B37862" w:rsidRDefault="00B37862" w:rsidP="00B37862">
      <w:pPr>
        <w:spacing w:line="360" w:lineRule="auto"/>
        <w:ind w:left="1133" w:right="1134"/>
        <w:jc w:val="both"/>
        <w:rPr>
          <w:rFonts w:ascii="David" w:hAnsi="David"/>
          <w:rtl/>
        </w:rPr>
      </w:pPr>
      <w:r>
        <w:rPr>
          <w:rFonts w:ascii="David" w:hAnsi="David"/>
          <w:rtl/>
        </w:rPr>
        <w:t xml:space="preserve">4. </w:t>
      </w:r>
      <w:r>
        <w:rPr>
          <w:rFonts w:ascii="David" w:hAnsi="David"/>
          <w:b/>
          <w:bCs/>
          <w:u w:val="single"/>
          <w:rtl/>
        </w:rPr>
        <w:t>אופן רישום הזכויות בנכס</w:t>
      </w:r>
      <w:r>
        <w:rPr>
          <w:rFonts w:ascii="David" w:hAnsi="David"/>
          <w:rtl/>
        </w:rPr>
        <w:t xml:space="preserve"> [ההדגשה במקור – פ"ג]</w:t>
      </w:r>
    </w:p>
    <w:p w:rsidR="00B37862" w:rsidRDefault="00B37862" w:rsidP="00E34657">
      <w:pPr>
        <w:spacing w:line="360" w:lineRule="auto"/>
        <w:ind w:left="1133" w:right="1134"/>
        <w:jc w:val="both"/>
        <w:rPr>
          <w:rFonts w:ascii="David" w:hAnsi="David"/>
          <w:rtl/>
        </w:rPr>
      </w:pPr>
      <w:r>
        <w:rPr>
          <w:rFonts w:ascii="David" w:hAnsi="David"/>
          <w:rtl/>
        </w:rPr>
        <w:lastRenderedPageBreak/>
        <w:t xml:space="preserve">5. הצדדים להסכם זה מסכימים בזאת כי חלקו המלא של מר </w:t>
      </w:r>
      <w:r w:rsidR="00E34657">
        <w:rPr>
          <w:rFonts w:ascii="David" w:hAnsi="David" w:hint="cs"/>
          <w:rtl/>
        </w:rPr>
        <w:t>***</w:t>
      </w:r>
      <w:r>
        <w:rPr>
          <w:rFonts w:ascii="David" w:hAnsi="David"/>
          <w:rtl/>
        </w:rPr>
        <w:t xml:space="preserve"> בדירת המנוחה וכפי שרשום בצו הירושה, יירשם על שם האחיות החתומות על הסכם זה בחלקים שווים ובהתאם לחלוקה שוויונית ביניהן בלשכת רישום המקרקעין בירושלים..."</w:t>
      </w:r>
    </w:p>
    <w:p w:rsidR="00B37862" w:rsidRDefault="00B37862" w:rsidP="00B37862">
      <w:pPr>
        <w:spacing w:line="360" w:lineRule="auto"/>
        <w:ind w:left="1133" w:right="1134"/>
        <w:jc w:val="both"/>
        <w:rPr>
          <w:rFonts w:ascii="David" w:hAnsi="David"/>
          <w:b/>
          <w:bCs/>
        </w:rPr>
      </w:pPr>
    </w:p>
    <w:p w:rsidR="00B37862" w:rsidRDefault="00B37862" w:rsidP="00B37862">
      <w:pPr>
        <w:spacing w:line="360" w:lineRule="auto"/>
        <w:ind w:left="1133" w:right="1134"/>
        <w:jc w:val="both"/>
        <w:rPr>
          <w:rFonts w:ascii="David" w:hAnsi="David"/>
          <w:b/>
          <w:bCs/>
          <w:rtl/>
        </w:rPr>
      </w:pPr>
      <w:r>
        <w:rPr>
          <w:rFonts w:ascii="David" w:hAnsi="David"/>
          <w:b/>
          <w:bCs/>
          <w:rtl/>
        </w:rPr>
        <w:t>ראו: עמ' 47 לנספחי כתב התביעה</w:t>
      </w:r>
    </w:p>
    <w:p w:rsidR="00B37862" w:rsidRDefault="00B37862" w:rsidP="00B37862">
      <w:pPr>
        <w:spacing w:line="360" w:lineRule="auto"/>
        <w:jc w:val="both"/>
        <w:rPr>
          <w:rFonts w:ascii="David" w:hAnsi="David"/>
          <w:rtl/>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למעשה, ניתן היה לבוא ולומר גם כאן כי המחלוקת מושא הליך זה הוסדרה בין התובעות לנתבע 3 בהסכם מיום 22.7.22, כאשר הצדדים להסכם זה אף הסכימו ברחל בתך הקטנה, כי הדירה אינה חלק מעיזבון המנוחה.</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 xml:space="preserve">יחד עם זאת, לאור טענת הנתבע 3 כי ההסכם מיום 22.7.22 נחתם "לאחר הפעלת לחץ... לצד הטלת איומים" </w:t>
      </w:r>
      <w:r>
        <w:rPr>
          <w:rFonts w:ascii="David" w:hAnsi="David" w:cs="David"/>
          <w:b/>
          <w:bCs/>
          <w:rtl/>
        </w:rPr>
        <w:t>ראו: ס' 21 לכתב הגנה</w:t>
      </w:r>
      <w:r>
        <w:rPr>
          <w:rFonts w:ascii="David" w:hAnsi="David" w:cs="David"/>
          <w:rtl/>
        </w:rPr>
        <w:t xml:space="preserve">, יש לדון בטענה זו. </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על פני הדברים, טענת הנתבע 3 הינה כי החוזה נחתם בכפייה. בעניין זה </w:t>
      </w:r>
      <w:r>
        <w:rPr>
          <w:rFonts w:ascii="David" w:hAnsi="David" w:cs="David"/>
          <w:b/>
          <w:bCs/>
          <w:rtl/>
        </w:rPr>
        <w:t>ראו</w:t>
      </w:r>
      <w:r>
        <w:rPr>
          <w:rFonts w:ascii="David" w:hAnsi="David" w:cs="David"/>
          <w:rtl/>
        </w:rPr>
        <w:t>: ס' 17(א) לחוק החוזים (חלק כללי), התשל"ז–1977 (להלן: "</w:t>
      </w:r>
      <w:r>
        <w:rPr>
          <w:rFonts w:ascii="David" w:hAnsi="David" w:cs="David"/>
          <w:b/>
          <w:bCs/>
          <w:rtl/>
        </w:rPr>
        <w:t>חוק החוזים</w:t>
      </w:r>
      <w:r>
        <w:rPr>
          <w:rFonts w:ascii="David" w:hAnsi="David" w:cs="David"/>
          <w:rtl/>
        </w:rPr>
        <w:t>") הקובע כי: "</w:t>
      </w:r>
      <w:r>
        <w:rPr>
          <w:rFonts w:ascii="David" w:hAnsi="David" w:cs="David"/>
          <w:b/>
          <w:bCs/>
          <w:rtl/>
        </w:rPr>
        <w:t>מי שהתקשר בחוזה עקב כפיה שכפה עליו הצד השני או אחר מטעמו, בכוח או באיום, רשאי לבטל את החוזה</w:t>
      </w:r>
      <w:r>
        <w:rPr>
          <w:rFonts w:ascii="David" w:hAnsi="David" w:cs="David"/>
          <w:rtl/>
        </w:rPr>
        <w:t>"</w:t>
      </w:r>
      <w:r>
        <w:rPr>
          <w:rFonts w:ascii="David" w:hAnsi="David" w:cs="David"/>
        </w:rPr>
        <w:t>.</w:t>
      </w:r>
    </w:p>
    <w:p w:rsidR="00B37862" w:rsidRDefault="00B37862" w:rsidP="00B37862">
      <w:pPr>
        <w:pStyle w:val="a9"/>
        <w:spacing w:line="360" w:lineRule="auto"/>
        <w:rPr>
          <w:rFonts w:ascii="David" w:hAnsi="David" w:cs="David"/>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 xml:space="preserve">ניתן לבטל הסכם מחמת כפיה רק כאשר הכפייה הופעלה על המתקשר לפני כריתת החוזה </w:t>
      </w:r>
      <w:r w:rsidRPr="00D95329">
        <w:rPr>
          <w:rFonts w:ascii="David" w:hAnsi="David" w:cs="David"/>
          <w:sz w:val="24"/>
          <w:szCs w:val="24"/>
          <w:rtl/>
        </w:rPr>
        <w:t xml:space="preserve">וההתקשרות בחוזה הייתה עקב הכפייה </w:t>
      </w:r>
      <w:r w:rsidRPr="00D95329">
        <w:rPr>
          <w:rFonts w:ascii="David" w:hAnsi="David" w:cs="David"/>
          <w:b/>
          <w:bCs/>
          <w:sz w:val="24"/>
          <w:szCs w:val="24"/>
          <w:rtl/>
        </w:rPr>
        <w:t>ראו:</w:t>
      </w:r>
      <w:r w:rsidRPr="00D95329">
        <w:rPr>
          <w:rFonts w:ascii="David" w:hAnsi="David" w:cs="David"/>
          <w:sz w:val="24"/>
          <w:szCs w:val="24"/>
          <w:rtl/>
        </w:rPr>
        <w:t xml:space="preserve"> ג. שלו וא. צמח </w:t>
      </w:r>
      <w:r w:rsidRPr="00026C99">
        <w:rPr>
          <w:rFonts w:ascii="David" w:hAnsi="David" w:cs="David" w:hint="cs"/>
          <w:b/>
          <w:bCs/>
          <w:sz w:val="24"/>
          <w:szCs w:val="24"/>
          <w:rtl/>
        </w:rPr>
        <w:t>דיני חוזים</w:t>
      </w:r>
      <w:r w:rsidRPr="00D95329">
        <w:rPr>
          <w:rFonts w:ascii="David" w:hAnsi="David" w:cs="David" w:hint="cs"/>
          <w:sz w:val="24"/>
          <w:szCs w:val="24"/>
          <w:rtl/>
        </w:rPr>
        <w:t xml:space="preserve"> מהדורה רביעית, </w:t>
      </w:r>
      <w:r>
        <w:rPr>
          <w:rFonts w:ascii="David" w:hAnsi="David" w:cs="David" w:hint="cs"/>
          <w:color w:val="000000"/>
          <w:sz w:val="24"/>
          <w:szCs w:val="24"/>
          <w:rtl/>
        </w:rPr>
        <w:t xml:space="preserve">(407-408). נקבע בפסיקה כי לא בנקל יכיר בית המשפט בכפייה כעילה מוצדקת לביטול חוזה ועל הטוען </w:t>
      </w:r>
      <w:r>
        <w:rPr>
          <w:rFonts w:ascii="David" w:hAnsi="David" w:cs="David" w:hint="cs"/>
          <w:color w:val="000000"/>
          <w:sz w:val="24"/>
          <w:szCs w:val="24"/>
          <w:rtl/>
        </w:rPr>
        <w:lastRenderedPageBreak/>
        <w:t xml:space="preserve">לכפייה להוכיח קיומם של לחצים כבדים, החותרים תחת עצם הרצון והמציבים את הצד להסכם במצב שבו אין לו ברירה סבירה אחרת זולת התקשרות בהסכם, או על פגיעה או איום בפגיעה המהווים עוולה נזיקית או עבירה פלילית </w:t>
      </w:r>
      <w:r>
        <w:rPr>
          <w:rFonts w:ascii="David" w:hAnsi="David" w:cs="David" w:hint="cs"/>
          <w:b/>
          <w:bCs/>
          <w:color w:val="000000"/>
          <w:sz w:val="24"/>
          <w:szCs w:val="24"/>
          <w:rtl/>
        </w:rPr>
        <w:t>ראו</w:t>
      </w:r>
      <w:r>
        <w:rPr>
          <w:rFonts w:ascii="David" w:hAnsi="David" w:cs="David" w:hint="cs"/>
          <w:color w:val="000000"/>
          <w:sz w:val="24"/>
          <w:szCs w:val="24"/>
          <w:rtl/>
        </w:rPr>
        <w:t xml:space="preserve">: </w:t>
      </w:r>
      <w:r>
        <w:rPr>
          <w:rFonts w:ascii="David" w:hAnsi="David" w:cs="David" w:hint="cs"/>
          <w:sz w:val="24"/>
          <w:szCs w:val="24"/>
          <w:rtl/>
        </w:rPr>
        <w:t xml:space="preserve">תמ"ש 15443-09-20 </w:t>
      </w:r>
      <w:r>
        <w:rPr>
          <w:rFonts w:ascii="David" w:hAnsi="David" w:cs="David" w:hint="cs"/>
          <w:b/>
          <w:bCs/>
          <w:sz w:val="24"/>
          <w:szCs w:val="24"/>
          <w:rtl/>
        </w:rPr>
        <w:t>פלונית נ' אלמוני</w:t>
      </w:r>
      <w:r>
        <w:rPr>
          <w:rFonts w:ascii="David" w:hAnsi="David" w:cs="David" w:hint="cs"/>
          <w:color w:val="000000"/>
          <w:sz w:val="24"/>
          <w:szCs w:val="24"/>
          <w:rtl/>
        </w:rPr>
        <w:t xml:space="preserve"> (21.2.2023).</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הנתבע 3 לא הוכיח (ולמעשה גם לא פירט) אילו לחצים הופעלו כלפיו ואילו איומים הופנו וכיצד אלה לא הותירו לו כל ברירה אלא לחתום על ההסכם מיום 22.7.22.</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נוסף על כך</w:t>
      </w:r>
      <w:r>
        <w:rPr>
          <w:rFonts w:ascii="David" w:hAnsi="David" w:cs="David"/>
          <w:b/>
          <w:bCs/>
          <w:color w:val="000000"/>
          <w:sz w:val="24"/>
          <w:szCs w:val="24"/>
          <w:rtl/>
        </w:rPr>
        <w:t>, ס' 20 לחוק החוזים</w:t>
      </w:r>
      <w:r>
        <w:rPr>
          <w:rFonts w:ascii="David" w:hAnsi="David" w:cs="David"/>
          <w:color w:val="000000"/>
          <w:sz w:val="24"/>
          <w:szCs w:val="24"/>
          <w:rtl/>
        </w:rPr>
        <w:t xml:space="preserve"> קובע כי: "</w:t>
      </w:r>
      <w:r>
        <w:rPr>
          <w:rFonts w:ascii="David" w:hAnsi="David" w:cs="David"/>
          <w:b/>
          <w:bCs/>
          <w:color w:val="000000"/>
          <w:sz w:val="24"/>
          <w:szCs w:val="24"/>
          <w:rtl/>
        </w:rPr>
        <w:t>ביטול החוזה יהיה בהודעת המתקשר לצד השני תוך זמן סביר לאחר שנודע לו על עילת הביטול, ובמקרה של כפיה – תוך זמן סביר לאחר שנודע לו שפסקה הכפיה</w:t>
      </w:r>
      <w:r>
        <w:rPr>
          <w:rFonts w:ascii="David" w:hAnsi="David" w:cs="David"/>
          <w:color w:val="000000"/>
          <w:sz w:val="24"/>
          <w:szCs w:val="24"/>
          <w:rtl/>
        </w:rPr>
        <w:t xml:space="preserve">". </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 xml:space="preserve">לא נטען על-ידי הנתבע 3 שהוא פעל על-פי </w:t>
      </w:r>
      <w:r>
        <w:rPr>
          <w:rFonts w:ascii="David" w:hAnsi="David" w:cs="David"/>
          <w:b/>
          <w:bCs/>
          <w:color w:val="000000"/>
          <w:sz w:val="24"/>
          <w:szCs w:val="24"/>
          <w:rtl/>
        </w:rPr>
        <w:t>ס' 20 לחוק החוזים</w:t>
      </w:r>
      <w:r>
        <w:rPr>
          <w:rFonts w:ascii="David" w:hAnsi="David" w:cs="David"/>
          <w:color w:val="000000"/>
          <w:sz w:val="24"/>
          <w:szCs w:val="24"/>
          <w:rtl/>
        </w:rPr>
        <w:t xml:space="preserve"> תוך זמן סביר – או בכלל – לאחר שהופסקה הכפייה הנטענת. במצב דברים זה, ההסכם מיום 22.7.22 הינו הסכם שריר וקיים וקיומו איננו מאפשר לנתבע 3 לפעול בניגוד להסכם עליו חתם </w:t>
      </w:r>
      <w:r>
        <w:rPr>
          <w:rFonts w:ascii="David" w:hAnsi="David" w:cs="David"/>
          <w:b/>
          <w:bCs/>
          <w:color w:val="000000"/>
          <w:sz w:val="24"/>
          <w:szCs w:val="24"/>
          <w:rtl/>
        </w:rPr>
        <w:t>ראו</w:t>
      </w:r>
      <w:r>
        <w:rPr>
          <w:rFonts w:ascii="David" w:hAnsi="David" w:cs="David"/>
          <w:color w:val="000000"/>
          <w:sz w:val="24"/>
          <w:szCs w:val="24"/>
          <w:rtl/>
        </w:rPr>
        <w:t xml:space="preserve">: ע"א 1632/98 </w:t>
      </w:r>
      <w:r>
        <w:rPr>
          <w:rFonts w:ascii="David" w:hAnsi="David" w:cs="David"/>
          <w:b/>
          <w:bCs/>
          <w:color w:val="000000"/>
          <w:sz w:val="24"/>
          <w:szCs w:val="24"/>
          <w:rtl/>
        </w:rPr>
        <w:t>ארבוס נ' רובינשטיין ושות' – חברה קבלנית בע"מ</w:t>
      </w:r>
      <w:r>
        <w:rPr>
          <w:rFonts w:ascii="David" w:hAnsi="David" w:cs="David"/>
          <w:color w:val="000000"/>
          <w:sz w:val="24"/>
          <w:szCs w:val="24"/>
          <w:rtl/>
        </w:rPr>
        <w:t xml:space="preserve">, פ"ד נה(3) (2001); תמ"ש 41470-10-20 </w:t>
      </w:r>
      <w:r>
        <w:rPr>
          <w:rFonts w:ascii="David" w:hAnsi="David" w:cs="David"/>
          <w:b/>
          <w:bCs/>
          <w:color w:val="000000"/>
          <w:sz w:val="24"/>
          <w:szCs w:val="24"/>
          <w:rtl/>
        </w:rPr>
        <w:t>פלונית נ' אלמונית</w:t>
      </w:r>
      <w:r>
        <w:rPr>
          <w:rFonts w:ascii="David" w:hAnsi="David" w:cs="David"/>
          <w:color w:val="000000"/>
          <w:sz w:val="24"/>
          <w:szCs w:val="24"/>
          <w:rtl/>
        </w:rPr>
        <w:t xml:space="preserve"> (25.10.2023), לרבות על דרך העלאת טענות המנוגדות להסכם זה.</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 xml:space="preserve">להשלמת התמונה יצוין כי מעיון בהתכתבות בין התובעת 2 לנתבע 3 עולה כי זה האחרון חתם על ההסכם מיום 22.7.22 מרצונו, תוך שהוא מודיע לתובעת 2 "...אני חתמתי על ויתור החלק שלי עבורכן, פה נסגר הסיפור" </w:t>
      </w:r>
      <w:r>
        <w:rPr>
          <w:rFonts w:ascii="David" w:hAnsi="David" w:cs="David"/>
          <w:b/>
          <w:bCs/>
          <w:color w:val="000000"/>
          <w:sz w:val="24"/>
          <w:szCs w:val="24"/>
          <w:rtl/>
        </w:rPr>
        <w:t>ראו: עמ' 13 להודעה מטעם התובעות בדבר דיווח דיון מקדמי</w:t>
      </w:r>
      <w:r>
        <w:rPr>
          <w:rFonts w:ascii="David" w:hAnsi="David" w:cs="David"/>
          <w:color w:val="000000"/>
          <w:sz w:val="24"/>
          <w:szCs w:val="24"/>
          <w:rtl/>
        </w:rPr>
        <w:t>.</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lastRenderedPageBreak/>
        <w:t xml:space="preserve">כמו כן, ניתן לראות בהסכם מיום 22.7.22 ולמעשה גם בהתכתבות בין התובעת 2 לנתבע 3 הודאה של הנתבע 3. בעניין זה נפסק תמ"ש 16831-11-14 </w:t>
      </w:r>
      <w:r>
        <w:rPr>
          <w:rFonts w:ascii="David" w:hAnsi="David" w:cs="David"/>
          <w:b/>
          <w:bCs/>
          <w:color w:val="000000"/>
          <w:sz w:val="24"/>
          <w:szCs w:val="24"/>
          <w:rtl/>
        </w:rPr>
        <w:t xml:space="preserve">פלוני נ' פלוני </w:t>
      </w:r>
      <w:r>
        <w:rPr>
          <w:rFonts w:ascii="David" w:hAnsi="David" w:cs="David"/>
          <w:color w:val="000000"/>
          <w:sz w:val="24"/>
          <w:szCs w:val="24"/>
          <w:rtl/>
        </w:rPr>
        <w:t xml:space="preserve">(4.4.2022) כי: </w:t>
      </w:r>
    </w:p>
    <w:p w:rsidR="00B37862" w:rsidRDefault="00B37862" w:rsidP="00B37862">
      <w:pPr>
        <w:pStyle w:val="a9"/>
        <w:spacing w:line="360" w:lineRule="auto"/>
        <w:rPr>
          <w:rFonts w:ascii="David" w:hAnsi="David" w:cs="David"/>
          <w:color w:val="000000"/>
        </w:rPr>
      </w:pPr>
    </w:p>
    <w:p w:rsidR="00B37862" w:rsidRDefault="00B37862" w:rsidP="00B37862">
      <w:pPr>
        <w:pStyle w:val="1"/>
        <w:spacing w:after="0" w:line="360" w:lineRule="auto"/>
        <w:ind w:left="1133" w:right="1276"/>
        <w:jc w:val="both"/>
        <w:rPr>
          <w:rFonts w:ascii="David" w:hAnsi="David" w:cs="David"/>
          <w:i/>
          <w:iCs/>
          <w:color w:val="000000"/>
          <w:sz w:val="24"/>
          <w:szCs w:val="24"/>
          <w:rtl/>
        </w:rPr>
      </w:pPr>
      <w:r>
        <w:rPr>
          <w:rFonts w:ascii="David" w:hAnsi="David" w:cs="David"/>
          <w:i/>
          <w:iCs/>
          <w:color w:val="000000"/>
          <w:sz w:val="24"/>
          <w:szCs w:val="24"/>
          <w:rtl/>
        </w:rPr>
        <w:t xml:space="preserve">"הודאה הנעשית על ידי בעל דין מחוץ למסגרת הפורמאלית של כתבי הטענות. מהווה ראיה להוכחת העובדות הכלולות בה. בעוד שהודאה פורמאלית (הודאה הנכללת בכתבי הטענות או הנמסרת בגדר ההליך הדיוני המיועד לכך) אינה ראיה כלל אלא היא מוציאה את העובדות אליהן מתייחסת ההודאה מתחום המחלוקת ופוטרת מן הצורך להוכיחן, הרי שהודאת חוץ הינה ראיה כשאר הראיות ובין שאר הראיות, אשר מהימנותה ומשקלה הראייתי נתונים לשיקול דעתו של בית המשפט. </w:t>
      </w:r>
    </w:p>
    <w:p w:rsidR="00B37862" w:rsidRDefault="00B37862" w:rsidP="00B37862">
      <w:pPr>
        <w:pStyle w:val="1"/>
        <w:spacing w:after="0" w:line="360" w:lineRule="auto"/>
        <w:ind w:left="1133" w:right="1276"/>
        <w:jc w:val="both"/>
        <w:rPr>
          <w:rFonts w:ascii="David" w:hAnsi="David" w:cs="David"/>
          <w:i/>
          <w:iCs/>
          <w:color w:val="000000"/>
          <w:sz w:val="24"/>
          <w:szCs w:val="24"/>
          <w:rtl/>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במקרה שלפניי הסכימו הצדדים כי התיק יוכרע על יסוד החומר המצוי בתיק בית המשפט ועל יסוד השמעת סיכומים, ולאור הסכמה זו, ניתן להעניק להודאת הנתבע 3 שבאה לידי ביטוי בין היתר בהסכם מיום 22.7.22 משקל ראייתי משמעותי.</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 xml:space="preserve">ניתן לסכם ולומר כי במסגרת ההסכם מיום 22.7.22 הנתבע 3 ויתר על כל טענה וזכות </w:t>
      </w:r>
      <w:r>
        <w:rPr>
          <w:rFonts w:ascii="David" w:hAnsi="David" w:cs="David"/>
          <w:sz w:val="24"/>
          <w:szCs w:val="24"/>
          <w:rtl/>
        </w:rPr>
        <w:t>"בכל הקשור לדירה ועזבון האם המנוחה</w:t>
      </w:r>
      <w:r>
        <w:rPr>
          <w:rFonts w:ascii="David" w:hAnsi="David" w:cs="David"/>
          <w:color w:val="000000"/>
          <w:sz w:val="24"/>
          <w:szCs w:val="24"/>
          <w:rtl/>
        </w:rPr>
        <w:t>" ואין כל מניעה לקבל את התביעה כנגדו במלואה.</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 xml:space="preserve">לא התעלמתי מטענת הנתבע 3 כי הוא הוטעה על-ידי עורך הדין שערך את ההסכם </w:t>
      </w:r>
      <w:r w:rsidRPr="00D95329">
        <w:rPr>
          <w:rFonts w:ascii="David" w:hAnsi="David" w:cs="David"/>
          <w:color w:val="000000"/>
          <w:sz w:val="24"/>
          <w:szCs w:val="24"/>
          <w:rtl/>
        </w:rPr>
        <w:t>וחשב</w:t>
      </w:r>
      <w:r>
        <w:rPr>
          <w:rFonts w:ascii="David" w:hAnsi="David" w:cs="David"/>
          <w:color w:val="000000"/>
          <w:sz w:val="24"/>
          <w:szCs w:val="24"/>
          <w:rtl/>
        </w:rPr>
        <w:t xml:space="preserve"> כי ההסכם שנערך עם הנתבעת 1 הוא אותו הסכם שנערך עמו, בעוד שבפועל ההסכם שנערך עם הנתבעת 1 היה שונה במהות ובתכלית </w:t>
      </w:r>
      <w:r>
        <w:rPr>
          <w:rFonts w:ascii="David" w:hAnsi="David" w:cs="David"/>
          <w:b/>
          <w:bCs/>
          <w:color w:val="000000"/>
          <w:sz w:val="24"/>
          <w:szCs w:val="24"/>
          <w:rtl/>
        </w:rPr>
        <w:t>ראו: ס' 22-23 ו-ס' 26 לכתב ההגנה</w:t>
      </w:r>
      <w:r>
        <w:rPr>
          <w:rFonts w:ascii="David" w:hAnsi="David" w:cs="David"/>
          <w:color w:val="000000"/>
          <w:sz w:val="24"/>
          <w:szCs w:val="24"/>
          <w:rtl/>
        </w:rPr>
        <w:t>, ולא מצאתי ממש בטענה זו.</w:t>
      </w:r>
    </w:p>
    <w:p w:rsidR="00B37862" w:rsidRDefault="00B37862" w:rsidP="00B37862">
      <w:pPr>
        <w:pStyle w:val="a9"/>
        <w:spacing w:line="360" w:lineRule="auto"/>
        <w:rPr>
          <w:rFonts w:ascii="David" w:hAnsi="David" w:cs="David"/>
          <w:color w:val="000000"/>
        </w:rPr>
      </w:pPr>
    </w:p>
    <w:p w:rsidR="00B37862" w:rsidRDefault="00B37862" w:rsidP="00B37862">
      <w:pPr>
        <w:pStyle w:val="1"/>
        <w:spacing w:after="0" w:line="360" w:lineRule="auto"/>
        <w:jc w:val="both"/>
        <w:rPr>
          <w:rFonts w:ascii="David" w:hAnsi="David" w:cs="David"/>
          <w:color w:val="000000"/>
          <w:sz w:val="24"/>
          <w:szCs w:val="24"/>
          <w:rtl/>
        </w:rPr>
      </w:pPr>
      <w:r>
        <w:rPr>
          <w:rFonts w:ascii="David" w:hAnsi="David" w:cs="David"/>
          <w:color w:val="000000"/>
          <w:sz w:val="24"/>
          <w:szCs w:val="24"/>
          <w:u w:val="single"/>
          <w:rtl/>
        </w:rPr>
        <w:t>ראשית</w:t>
      </w:r>
      <w:r>
        <w:rPr>
          <w:rFonts w:ascii="David" w:hAnsi="David" w:cs="David"/>
          <w:color w:val="000000"/>
          <w:sz w:val="24"/>
          <w:szCs w:val="24"/>
          <w:rtl/>
        </w:rPr>
        <w:t xml:space="preserve">, לא מצאתי שוני ממשי בין שני ההסכמים, למצער בכל הנוגע לשאלת הוויתור על הזכויות בדירה או בעיזבון המנוחה. </w:t>
      </w:r>
    </w:p>
    <w:p w:rsidR="00B37862" w:rsidRDefault="00B37862" w:rsidP="00B37862">
      <w:pPr>
        <w:pStyle w:val="1"/>
        <w:spacing w:after="0" w:line="360" w:lineRule="auto"/>
        <w:jc w:val="both"/>
        <w:rPr>
          <w:rFonts w:ascii="David" w:hAnsi="David" w:cs="David"/>
          <w:color w:val="000000"/>
          <w:sz w:val="24"/>
          <w:szCs w:val="24"/>
          <w:rtl/>
        </w:rPr>
      </w:pPr>
    </w:p>
    <w:p w:rsidR="00B37862" w:rsidRDefault="00B37862" w:rsidP="00B37862">
      <w:pPr>
        <w:pStyle w:val="1"/>
        <w:spacing w:after="0" w:line="360" w:lineRule="auto"/>
        <w:jc w:val="both"/>
        <w:rPr>
          <w:rFonts w:ascii="David" w:hAnsi="David" w:cs="David"/>
          <w:color w:val="000000"/>
          <w:sz w:val="24"/>
          <w:szCs w:val="24"/>
          <w:rtl/>
        </w:rPr>
      </w:pPr>
      <w:r>
        <w:rPr>
          <w:rFonts w:ascii="David" w:hAnsi="David" w:cs="David"/>
          <w:color w:val="000000"/>
          <w:sz w:val="24"/>
          <w:szCs w:val="24"/>
          <w:rtl/>
        </w:rPr>
        <w:t>בנוסף, עיון בשני ההסכמים מוביל למסקנה כי, על פני הדברים, ההסכם שנערך בין התובעות לנתבעת 1 מקפח אותה ביחס לנתבע 3 שכן בס' 16 להסכם בית התובעות לנתבעת 1 הוסכם, בין היתר, כי ייערך קיזוז בכל הנוגע לסכומים שהוציאו התובעות להוצאות המנוחה – סעיף שלא נמצא בהסכם בין התובעות לנתבע 3.</w:t>
      </w:r>
    </w:p>
    <w:p w:rsidR="00B37862" w:rsidRDefault="00B37862" w:rsidP="00B37862">
      <w:pPr>
        <w:pStyle w:val="1"/>
        <w:spacing w:after="0" w:line="360" w:lineRule="auto"/>
        <w:jc w:val="both"/>
        <w:rPr>
          <w:rFonts w:ascii="David" w:hAnsi="David" w:cs="David"/>
          <w:color w:val="000000"/>
          <w:sz w:val="24"/>
          <w:szCs w:val="24"/>
          <w:rtl/>
        </w:rPr>
      </w:pPr>
    </w:p>
    <w:p w:rsidR="00B37862" w:rsidRDefault="00B37862" w:rsidP="00B37862">
      <w:pPr>
        <w:pStyle w:val="1"/>
        <w:spacing w:after="0" w:line="360" w:lineRule="auto"/>
        <w:jc w:val="both"/>
        <w:rPr>
          <w:rFonts w:ascii="David" w:hAnsi="David" w:cs="David"/>
          <w:color w:val="000000"/>
          <w:sz w:val="24"/>
          <w:szCs w:val="24"/>
          <w:rtl/>
        </w:rPr>
      </w:pPr>
      <w:r>
        <w:rPr>
          <w:rFonts w:ascii="David" w:hAnsi="David" w:cs="David"/>
          <w:color w:val="000000"/>
          <w:sz w:val="24"/>
          <w:szCs w:val="24"/>
          <w:u w:val="single"/>
          <w:rtl/>
        </w:rPr>
        <w:t>שנית</w:t>
      </w:r>
      <w:r>
        <w:rPr>
          <w:rFonts w:ascii="David" w:hAnsi="David" w:cs="David"/>
          <w:color w:val="000000"/>
          <w:sz w:val="24"/>
          <w:szCs w:val="24"/>
          <w:rtl/>
        </w:rPr>
        <w:t xml:space="preserve">, סעיפים 14 ו-15 לחוק החוזים מעניקים זכות לביטול חוזה בלבד. בעניין זה נפסק בע"א 7730/09 </w:t>
      </w:r>
      <w:r>
        <w:rPr>
          <w:rFonts w:ascii="David" w:hAnsi="David" w:cs="David"/>
          <w:b/>
          <w:bCs/>
          <w:color w:val="000000"/>
          <w:sz w:val="24"/>
          <w:szCs w:val="24"/>
          <w:rtl/>
        </w:rPr>
        <w:t>כהן נ' מבני גזית (2000 בע"מ)</w:t>
      </w:r>
      <w:r>
        <w:rPr>
          <w:rFonts w:ascii="David" w:hAnsi="David" w:cs="David"/>
          <w:color w:val="000000"/>
          <w:sz w:val="24"/>
          <w:szCs w:val="24"/>
          <w:rtl/>
        </w:rPr>
        <w:t xml:space="preserve"> (6.6.2011) כי "</w:t>
      </w:r>
      <w:r>
        <w:rPr>
          <w:rFonts w:ascii="David" w:hAnsi="David" w:cs="David"/>
          <w:i/>
          <w:iCs/>
          <w:color w:val="000000"/>
          <w:sz w:val="24"/>
          <w:szCs w:val="24"/>
          <w:rtl/>
        </w:rPr>
        <w:t xml:space="preserve">כל עוד הוא אינו מפעיל את זכות הביטול שקמה לו, נשאר החוזה תקף ומחייב. יש אף הרואים באי-ביטול החוזה במקרה של פגם בכריתה, כויתור על ברירת הביטול או אישרורו של החוזה (להרחבה </w:t>
      </w:r>
      <w:r>
        <w:rPr>
          <w:rFonts w:ascii="David" w:hAnsi="David" w:cs="David"/>
          <w:color w:val="000000"/>
          <w:sz w:val="24"/>
          <w:szCs w:val="24"/>
          <w:rtl/>
        </w:rPr>
        <w:t xml:space="preserve">ראו: שלו, בעמ' 356-355; פרידמן וכהן, בעמ' 1141-1124)" </w:t>
      </w:r>
      <w:r>
        <w:rPr>
          <w:rFonts w:ascii="David" w:hAnsi="David" w:cs="David"/>
          <w:b/>
          <w:bCs/>
          <w:color w:val="000000"/>
          <w:sz w:val="24"/>
          <w:szCs w:val="24"/>
          <w:rtl/>
        </w:rPr>
        <w:t>ראו גם</w:t>
      </w:r>
      <w:r>
        <w:rPr>
          <w:rFonts w:ascii="David" w:hAnsi="David" w:cs="David"/>
          <w:color w:val="000000"/>
          <w:sz w:val="24"/>
          <w:szCs w:val="24"/>
          <w:rtl/>
        </w:rPr>
        <w:t xml:space="preserve">: ה"פ (מחוזי חיפה) 29046-10-19 </w:t>
      </w:r>
      <w:r>
        <w:rPr>
          <w:rFonts w:ascii="David" w:hAnsi="David" w:cs="David"/>
          <w:b/>
          <w:bCs/>
          <w:color w:val="000000"/>
          <w:sz w:val="24"/>
          <w:szCs w:val="24"/>
          <w:rtl/>
        </w:rPr>
        <w:t>ח' ש' נ' א' ד'</w:t>
      </w:r>
      <w:r>
        <w:rPr>
          <w:rFonts w:ascii="David" w:hAnsi="David" w:cs="David"/>
          <w:color w:val="000000"/>
          <w:sz w:val="24"/>
          <w:szCs w:val="24"/>
          <w:rtl/>
        </w:rPr>
        <w:t xml:space="preserve"> (22.8.2021). במקרה שלפניי, הנתבע 3 לא פעל לביטול ההסכם והוא אינו יכול לעשות שימוש בעילות "טעות" ו"הטעיה" כטענות הגנה בלבד.</w:t>
      </w:r>
    </w:p>
    <w:p w:rsidR="00B37862" w:rsidRDefault="00B37862" w:rsidP="00B37862">
      <w:pPr>
        <w:pStyle w:val="1"/>
        <w:spacing w:after="0" w:line="360" w:lineRule="auto"/>
        <w:jc w:val="both"/>
        <w:rPr>
          <w:rFonts w:ascii="David" w:hAnsi="David" w:cs="David"/>
          <w:color w:val="000000"/>
          <w:sz w:val="24"/>
          <w:szCs w:val="24"/>
          <w:rtl/>
        </w:rPr>
      </w:pPr>
    </w:p>
    <w:p w:rsidR="00B37862" w:rsidRDefault="00B37862" w:rsidP="00B37862">
      <w:pPr>
        <w:spacing w:line="360" w:lineRule="auto"/>
        <w:ind w:left="720"/>
        <w:jc w:val="both"/>
        <w:rPr>
          <w:rFonts w:ascii="David" w:hAnsi="David"/>
          <w:color w:val="000000"/>
          <w:rtl/>
        </w:rPr>
      </w:pPr>
      <w:r>
        <w:rPr>
          <w:rFonts w:ascii="David" w:hAnsi="David"/>
          <w:color w:val="000000"/>
          <w:u w:val="single"/>
          <w:rtl/>
        </w:rPr>
        <w:t>שלישית</w:t>
      </w:r>
      <w:r>
        <w:rPr>
          <w:rFonts w:ascii="David" w:hAnsi="David"/>
          <w:color w:val="000000"/>
          <w:rtl/>
        </w:rPr>
        <w:t xml:space="preserve">, במסגרת הסיכומים הנתבעים הסתפקו באמירה כללית אשר לפיה הנתבע 3 "טעה לאורך כל הדרך" </w:t>
      </w:r>
      <w:r>
        <w:rPr>
          <w:rFonts w:ascii="David" w:hAnsi="David"/>
          <w:b/>
          <w:bCs/>
          <w:color w:val="000000"/>
          <w:rtl/>
        </w:rPr>
        <w:t xml:space="preserve">ראו: פרוט' עמ' 10 ש' 50-51 </w:t>
      </w:r>
      <w:r>
        <w:rPr>
          <w:rFonts w:ascii="David" w:hAnsi="David"/>
          <w:color w:val="000000"/>
          <w:rtl/>
        </w:rPr>
        <w:t xml:space="preserve">וזאת מבלי </w:t>
      </w:r>
      <w:r w:rsidRPr="00D95329">
        <w:rPr>
          <w:rFonts w:ascii="David" w:hAnsi="David"/>
          <w:color w:val="000000"/>
          <w:rtl/>
        </w:rPr>
        <w:t>שפורטו</w:t>
      </w:r>
      <w:r>
        <w:rPr>
          <w:rFonts w:ascii="David" w:hAnsi="David"/>
          <w:color w:val="000000"/>
          <w:rtl/>
        </w:rPr>
        <w:t xml:space="preserve"> ונותחו יסודות סעיפים 14 ו-15 לחוק החוזים </w:t>
      </w:r>
      <w:r>
        <w:rPr>
          <w:rFonts w:ascii="David" w:hAnsi="David"/>
          <w:b/>
          <w:bCs/>
          <w:color w:val="000000"/>
          <w:rtl/>
        </w:rPr>
        <w:t>ראו:</w:t>
      </w:r>
      <w:r>
        <w:rPr>
          <w:rFonts w:ascii="David" w:hAnsi="David"/>
          <w:color w:val="000000"/>
          <w:rtl/>
        </w:rPr>
        <w:t xml:space="preserve"> עמ"ש 29522-05-13 </w:t>
      </w:r>
      <w:r>
        <w:rPr>
          <w:rFonts w:ascii="David" w:hAnsi="David"/>
          <w:b/>
          <w:bCs/>
          <w:color w:val="000000"/>
          <w:rtl/>
        </w:rPr>
        <w:t>מ' ח' ל' נ'  ל'  א'</w:t>
      </w:r>
      <w:r>
        <w:rPr>
          <w:rFonts w:ascii="David" w:hAnsi="David"/>
          <w:color w:val="000000"/>
          <w:rtl/>
        </w:rPr>
        <w:t xml:space="preserve"> (9.3.2013); ת"א (מחוזי מרכז) 18723-08-18 </w:t>
      </w:r>
      <w:r>
        <w:rPr>
          <w:rFonts w:ascii="David" w:hAnsi="David"/>
          <w:b/>
          <w:bCs/>
          <w:color w:val="000000"/>
          <w:rtl/>
        </w:rPr>
        <w:t>שור נ' עירית כפר סבא</w:t>
      </w:r>
      <w:r>
        <w:rPr>
          <w:rFonts w:ascii="David" w:hAnsi="David"/>
          <w:color w:val="000000"/>
          <w:rtl/>
        </w:rPr>
        <w:t xml:space="preserve"> (14.9.2021).</w:t>
      </w:r>
    </w:p>
    <w:p w:rsidR="00B37862" w:rsidRDefault="00B37862" w:rsidP="00B37862">
      <w:pPr>
        <w:spacing w:line="360" w:lineRule="auto"/>
        <w:jc w:val="both"/>
        <w:rPr>
          <w:rFonts w:ascii="David" w:hAnsi="David"/>
          <w:u w:val="single"/>
        </w:rPr>
      </w:pPr>
    </w:p>
    <w:p w:rsidR="00B37862" w:rsidRDefault="00B37862" w:rsidP="00B37862">
      <w:pPr>
        <w:spacing w:line="360" w:lineRule="auto"/>
        <w:jc w:val="both"/>
        <w:rPr>
          <w:rFonts w:ascii="David" w:hAnsi="David"/>
          <w:color w:val="000000"/>
          <w:rtl/>
        </w:rPr>
      </w:pPr>
      <w:r>
        <w:rPr>
          <w:rFonts w:ascii="David" w:hAnsi="David"/>
          <w:u w:val="single"/>
          <w:rtl/>
        </w:rPr>
        <w:lastRenderedPageBreak/>
        <w:t xml:space="preserve">הנתבע 2 </w:t>
      </w:r>
    </w:p>
    <w:p w:rsidR="00B37862" w:rsidRDefault="00B37862" w:rsidP="00B37862">
      <w:pPr>
        <w:pStyle w:val="a9"/>
        <w:spacing w:line="360" w:lineRule="auto"/>
        <w:rPr>
          <w:rFonts w:ascii="David" w:hAnsi="David" w:cs="David"/>
          <w:color w:val="000000"/>
        </w:rPr>
      </w:pPr>
    </w:p>
    <w:p w:rsidR="00B37862" w:rsidRDefault="00B37862" w:rsidP="00B37862">
      <w:pPr>
        <w:pStyle w:val="1"/>
        <w:numPr>
          <w:ilvl w:val="0"/>
          <w:numId w:val="1"/>
        </w:numPr>
        <w:spacing w:after="0" w:line="360" w:lineRule="auto"/>
        <w:jc w:val="both"/>
        <w:rPr>
          <w:rFonts w:ascii="David" w:hAnsi="David" w:cs="David"/>
          <w:color w:val="000000"/>
          <w:sz w:val="24"/>
          <w:szCs w:val="24"/>
          <w:rtl/>
        </w:rPr>
      </w:pPr>
      <w:r>
        <w:rPr>
          <w:rFonts w:ascii="David" w:hAnsi="David" w:cs="David"/>
          <w:color w:val="000000"/>
          <w:sz w:val="24"/>
          <w:szCs w:val="24"/>
          <w:rtl/>
        </w:rPr>
        <w:t>בין התובעות לנתבע 2 לא נערך כל הסכם בכתב בעניין הדירה או עיזבון המנוחה כפי שנערך עם הנתבעים 1 ו-3 והכרעה בעניינו תיעשה על יסוד תשתית ראייתית, אשר באה לידי ביטוי בתמלילים שצורפו לכתב התביעה.</w:t>
      </w:r>
    </w:p>
    <w:p w:rsidR="00B37862" w:rsidRDefault="00B37862" w:rsidP="00B37862">
      <w:pPr>
        <w:pStyle w:val="1"/>
        <w:spacing w:after="0" w:line="360" w:lineRule="auto"/>
        <w:jc w:val="both"/>
        <w:rPr>
          <w:rFonts w:ascii="David" w:hAnsi="David" w:cs="David"/>
          <w:color w:val="000000"/>
          <w:sz w:val="24"/>
          <w:szCs w:val="24"/>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בעניין זה יצוין תחילה כי הנתבע 2 היה מודע לדבר ההקלטה, והוא נזהר מאוד בלשונו – כהגדרתו </w:t>
      </w:r>
      <w:r>
        <w:rPr>
          <w:rFonts w:ascii="David" w:hAnsi="David" w:cs="David"/>
          <w:b/>
          <w:bCs/>
          <w:rtl/>
        </w:rPr>
        <w:t>ראו: נספח 11 לנספחי כתב התביעה עמ' 144 ש' 6-15</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 במסגרת השיחות שנערכו עם התובעות 2 ו-4 ואשר הוקלטו:</w:t>
      </w:r>
    </w:p>
    <w:p w:rsidR="00B37862" w:rsidRDefault="00B37862" w:rsidP="00B37862">
      <w:pPr>
        <w:pStyle w:val="a9"/>
        <w:spacing w:line="360" w:lineRule="auto"/>
        <w:rPr>
          <w:rFonts w:ascii="David" w:hAnsi="David" w:cs="David"/>
        </w:rPr>
      </w:pPr>
    </w:p>
    <w:p w:rsidR="00B37862" w:rsidRDefault="00B37862" w:rsidP="00B37862">
      <w:pPr>
        <w:pStyle w:val="a9"/>
        <w:spacing w:after="0" w:line="360" w:lineRule="auto"/>
        <w:jc w:val="both"/>
        <w:rPr>
          <w:rFonts w:ascii="David" w:hAnsi="David" w:cs="David"/>
          <w:rtl/>
        </w:rPr>
      </w:pPr>
      <w:r>
        <w:rPr>
          <w:rFonts w:ascii="David" w:hAnsi="David" w:cs="David"/>
          <w:rtl/>
        </w:rPr>
        <w:t xml:space="preserve">הנתבע 2 הודה כי התובעות פנו אליו בטרם רכישת הדירה כפי שפנו לנתבעים 1 ו-3 על מנת שישתתף ברכישת הדירה </w:t>
      </w:r>
      <w:r>
        <w:rPr>
          <w:rFonts w:ascii="David" w:hAnsi="David" w:cs="David"/>
          <w:b/>
          <w:bCs/>
          <w:rtl/>
        </w:rPr>
        <w:t>ראו: נספח 11 לנספחי התביעה עמ' 115 ש' 20-23</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pStyle w:val="a9"/>
        <w:spacing w:after="0" w:line="360" w:lineRule="auto"/>
        <w:jc w:val="both"/>
        <w:rPr>
          <w:rFonts w:ascii="David" w:hAnsi="David" w:cs="David"/>
          <w:rtl/>
        </w:rPr>
      </w:pPr>
      <w:r>
        <w:rPr>
          <w:rFonts w:ascii="David" w:hAnsi="David" w:cs="David"/>
          <w:rtl/>
        </w:rPr>
        <w:t xml:space="preserve">הנתבע 2 טען כי הוא לא הצטרף למאמץ התובעות לרכוש את הדירה כי לא הייתה לו אפשרות כלכלית להצטרף למאמץ זה </w:t>
      </w:r>
      <w:r>
        <w:rPr>
          <w:rFonts w:ascii="David" w:hAnsi="David" w:cs="David"/>
          <w:b/>
          <w:bCs/>
          <w:rtl/>
        </w:rPr>
        <w:t>ראו: נספח 10 לנספחי התביעה עמ' 64 ש' 16-18, נספח 11 לנספחי התביעה עמ' 114 ש' 3</w:t>
      </w:r>
      <w:r>
        <w:rPr>
          <w:rFonts w:ascii="David" w:hAnsi="David" w:cs="David"/>
          <w:rtl/>
        </w:rPr>
        <w:t xml:space="preserve">, </w:t>
      </w:r>
      <w:r>
        <w:rPr>
          <w:rFonts w:ascii="David" w:hAnsi="David" w:cs="David"/>
          <w:b/>
          <w:bCs/>
          <w:rtl/>
        </w:rPr>
        <w:t>עמ' 116 ש' 22-24</w:t>
      </w:r>
      <w:r>
        <w:rPr>
          <w:rFonts w:ascii="David" w:hAnsi="David" w:cs="David"/>
          <w:rtl/>
        </w:rPr>
        <w:t>.</w:t>
      </w:r>
    </w:p>
    <w:p w:rsidR="00B37862" w:rsidRDefault="00B37862" w:rsidP="00B37862">
      <w:pPr>
        <w:pStyle w:val="a9"/>
        <w:spacing w:after="0" w:line="360" w:lineRule="auto"/>
        <w:jc w:val="both"/>
        <w:rPr>
          <w:rFonts w:ascii="David" w:hAnsi="David" w:cs="David"/>
          <w:rtl/>
        </w:rPr>
      </w:pPr>
    </w:p>
    <w:p w:rsidR="00B37862" w:rsidRDefault="00B37862" w:rsidP="00B37862">
      <w:pPr>
        <w:pStyle w:val="a9"/>
        <w:spacing w:after="0" w:line="360" w:lineRule="auto"/>
        <w:jc w:val="both"/>
        <w:rPr>
          <w:rFonts w:ascii="David" w:hAnsi="David" w:cs="David"/>
          <w:rtl/>
        </w:rPr>
      </w:pPr>
      <w:r>
        <w:rPr>
          <w:rFonts w:ascii="David" w:hAnsi="David" w:cs="David"/>
          <w:rtl/>
        </w:rPr>
        <w:t>הנתבע 2 הודה כי הוא ויתר על הזכויות בדירה לטובת התובעות כדלהלן:</w:t>
      </w:r>
    </w:p>
    <w:p w:rsidR="00B37862" w:rsidRDefault="00B37862" w:rsidP="000E0DD9">
      <w:pPr>
        <w:spacing w:line="360" w:lineRule="auto"/>
        <w:ind w:left="2153" w:right="1134" w:hanging="1020"/>
        <w:jc w:val="both"/>
        <w:rPr>
          <w:rFonts w:ascii="David" w:hAnsi="David"/>
          <w:b/>
          <w:bCs/>
          <w:rtl/>
        </w:rPr>
      </w:pPr>
      <w:r>
        <w:rPr>
          <w:rFonts w:ascii="David" w:hAnsi="David"/>
          <w:b/>
          <w:bCs/>
          <w:rtl/>
        </w:rPr>
        <w:lastRenderedPageBreak/>
        <w:t>"...</w:t>
      </w:r>
      <w:r w:rsidR="000E0DD9">
        <w:rPr>
          <w:rFonts w:ascii="David" w:hAnsi="David" w:hint="cs"/>
          <w:b/>
          <w:bCs/>
          <w:rtl/>
        </w:rPr>
        <w:t>***</w:t>
      </w:r>
      <w:r>
        <w:rPr>
          <w:rFonts w:ascii="David" w:hAnsi="David"/>
          <w:b/>
          <w:bCs/>
          <w:rtl/>
        </w:rPr>
        <w:t xml:space="preserve">: </w:t>
      </w:r>
      <w:r>
        <w:rPr>
          <w:rFonts w:ascii="David" w:hAnsi="David"/>
          <w:b/>
          <w:bCs/>
          <w:rtl/>
        </w:rPr>
        <w:tab/>
        <w:t>לא, זה לא שהיא לא מתיישבת. אני אומרת לך את הרציונל. אנחנו קנינו את הדירה הזאת לפני ארבע שנים. הוצאנו מכספנו האישי וקנינו את הדירה הזאת לפני ארבע שנים. לפני חמש שנים.</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אין בעיה, אף אחד לא רוצה ממכם כלום.</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יפה.</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כל מה שמגיע לכם תקבלו.</w:t>
      </w:r>
    </w:p>
    <w:p w:rsidR="00B37862" w:rsidRDefault="000E0DD9" w:rsidP="008A6D89">
      <w:pPr>
        <w:spacing w:line="360" w:lineRule="auto"/>
        <w:ind w:left="2153" w:right="1134" w:hanging="1020"/>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 xml:space="preserve">לא, אין מה שמגיע לנו. הדירה היא שלנו. זה שהיא רשומה על אמא, זה נטו </w:t>
      </w:r>
      <w:r w:rsidR="00B37862">
        <w:rPr>
          <w:rFonts w:ascii="David" w:hAnsi="David"/>
          <w:b/>
          <w:bCs/>
        </w:rPr>
        <w:t>process</w:t>
      </w:r>
      <w:r w:rsidR="00B37862">
        <w:rPr>
          <w:rFonts w:ascii="David" w:hAnsi="David"/>
          <w:b/>
          <w:bCs/>
          <w:rtl/>
        </w:rPr>
        <w:t xml:space="preserve"> </w:t>
      </w:r>
      <w:r w:rsidR="008A6D89">
        <w:rPr>
          <w:rFonts w:ascii="David" w:hAnsi="David" w:hint="cs"/>
          <w:b/>
          <w:bCs/>
          <w:rtl/>
        </w:rPr>
        <w:t>***</w:t>
      </w:r>
      <w:r w:rsidR="00B37862">
        <w:rPr>
          <w:rFonts w:ascii="David" w:hAnsi="David"/>
          <w:b/>
          <w:bCs/>
          <w:rtl/>
        </w:rPr>
        <w:t>. וכרגע המצב הוא כזה שהיא רשומה על אמא וזה כביכול צוואה, אבל כולם יודעים שזה לא צוואה. כולם יודעים. והסיפור הזה שעכשיו אתה רוצה לחשוב או לא לחשוב הוא בכלל לא אופציה. זה בכלל לא משהו שאמור להגיד. אתה צריך להבין שזה לא שלך. תגיד, תגיד אני רוצה שתביאו לי כסף, אני רוצה שתעזרו לי בחיים, אני רוצה זה. אבל איפה אתה בכלל יכול לחשוב,</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אני לא רוצה מאף אחד כלום.</w:t>
      </w:r>
    </w:p>
    <w:p w:rsidR="00B37862" w:rsidRDefault="000E0DD9" w:rsidP="000E0DD9">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לא, אבל איפה,</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באמת שלא.</w:t>
      </w:r>
    </w:p>
    <w:p w:rsidR="00B37862" w:rsidRDefault="000E0DD9" w:rsidP="00B37862">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אבל זה שאתה לא חותם.</w:t>
      </w:r>
    </w:p>
    <w:p w:rsidR="00B37862" w:rsidRDefault="000E0DD9" w:rsidP="008A6D89">
      <w:pPr>
        <w:spacing w:line="360" w:lineRule="auto"/>
        <w:ind w:left="1133" w:right="1134"/>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r>
      <w:r w:rsidR="008A6D89">
        <w:rPr>
          <w:rFonts w:ascii="David" w:hAnsi="David" w:hint="cs"/>
          <w:b/>
          <w:bCs/>
          <w:rtl/>
        </w:rPr>
        <w:t>***</w:t>
      </w:r>
      <w:r w:rsidR="00B37862">
        <w:rPr>
          <w:rFonts w:ascii="David" w:hAnsi="David"/>
          <w:b/>
          <w:bCs/>
          <w:rtl/>
        </w:rPr>
        <w:t>, באמת שלא."</w:t>
      </w:r>
    </w:p>
    <w:p w:rsidR="00B37862" w:rsidRDefault="00B37862" w:rsidP="00B37862">
      <w:pPr>
        <w:pStyle w:val="a9"/>
        <w:spacing w:after="0" w:line="360" w:lineRule="auto"/>
        <w:ind w:firstLine="413"/>
        <w:jc w:val="both"/>
        <w:rPr>
          <w:rFonts w:ascii="David" w:hAnsi="David" w:cs="David"/>
          <w:b/>
          <w:bCs/>
          <w:rtl/>
        </w:rPr>
      </w:pPr>
    </w:p>
    <w:p w:rsidR="00B37862" w:rsidRPr="00D95329" w:rsidRDefault="00B37862" w:rsidP="00B37862">
      <w:pPr>
        <w:pStyle w:val="a9"/>
        <w:spacing w:after="0" w:line="360" w:lineRule="auto"/>
        <w:ind w:firstLine="413"/>
        <w:jc w:val="both"/>
        <w:rPr>
          <w:rFonts w:ascii="David" w:hAnsi="David" w:cs="David"/>
          <w:b/>
          <w:bCs/>
          <w:rtl/>
        </w:rPr>
      </w:pPr>
      <w:r w:rsidRPr="00D95329">
        <w:rPr>
          <w:rFonts w:ascii="David" w:hAnsi="David" w:cs="David"/>
          <w:b/>
          <w:bCs/>
          <w:rtl/>
        </w:rPr>
        <w:t>ראו: נספח 10 לנספחי התביעה עמ' 75 ש' 24 עד עמ' 76 ש' 14.</w:t>
      </w:r>
    </w:p>
    <w:p w:rsidR="00B37862" w:rsidRDefault="00B37862" w:rsidP="00B37862">
      <w:pPr>
        <w:pStyle w:val="a9"/>
        <w:spacing w:after="0" w:line="360" w:lineRule="auto"/>
        <w:ind w:firstLine="413"/>
        <w:jc w:val="both"/>
        <w:rPr>
          <w:rFonts w:ascii="David" w:hAnsi="David" w:cs="David"/>
          <w:rtl/>
        </w:rPr>
      </w:pPr>
    </w:p>
    <w:p w:rsidR="00B37862" w:rsidRDefault="00B37862" w:rsidP="00B37862">
      <w:pPr>
        <w:pStyle w:val="a9"/>
        <w:spacing w:after="0" w:line="360" w:lineRule="auto"/>
        <w:ind w:firstLine="413"/>
        <w:jc w:val="both"/>
        <w:rPr>
          <w:rFonts w:ascii="David" w:hAnsi="David" w:cs="David"/>
          <w:rtl/>
        </w:rPr>
      </w:pPr>
      <w:r>
        <w:rPr>
          <w:rFonts w:ascii="David" w:hAnsi="David" w:cs="David"/>
          <w:rtl/>
        </w:rPr>
        <w:t>וכמו כן:</w:t>
      </w:r>
    </w:p>
    <w:p w:rsidR="00B37862" w:rsidRDefault="00B37862" w:rsidP="00B37862">
      <w:pPr>
        <w:pStyle w:val="a9"/>
        <w:spacing w:after="0" w:line="360" w:lineRule="auto"/>
        <w:ind w:firstLine="413"/>
        <w:jc w:val="both"/>
        <w:rPr>
          <w:rFonts w:ascii="David" w:hAnsi="David" w:cs="David"/>
          <w:rtl/>
        </w:rPr>
      </w:pPr>
    </w:p>
    <w:p w:rsidR="00B37862" w:rsidRDefault="000E0DD9" w:rsidP="00E34657">
      <w:pPr>
        <w:spacing w:line="360" w:lineRule="auto"/>
        <w:ind w:left="2153" w:right="1134" w:hanging="1020"/>
        <w:jc w:val="both"/>
        <w:rPr>
          <w:rFonts w:ascii="David" w:hAnsi="David"/>
          <w:b/>
          <w:bCs/>
          <w:rtl/>
        </w:rPr>
      </w:pPr>
      <w:r>
        <w:rPr>
          <w:rFonts w:ascii="David" w:hAnsi="David"/>
          <w:b/>
          <w:bCs/>
          <w:rtl/>
        </w:rPr>
        <w:t>"...</w:t>
      </w:r>
      <w:r>
        <w:rPr>
          <w:rFonts w:ascii="David" w:hAnsi="David" w:hint="cs"/>
          <w:b/>
          <w:bCs/>
          <w:rtl/>
        </w:rPr>
        <w:t>***</w:t>
      </w:r>
      <w:r w:rsidR="00B37862">
        <w:rPr>
          <w:rFonts w:ascii="David" w:hAnsi="David"/>
          <w:b/>
          <w:bCs/>
          <w:rtl/>
        </w:rPr>
        <w:t xml:space="preserve">: </w:t>
      </w:r>
      <w:r w:rsidR="00B37862">
        <w:rPr>
          <w:rFonts w:ascii="David" w:hAnsi="David"/>
          <w:b/>
          <w:bCs/>
          <w:rtl/>
        </w:rPr>
        <w:tab/>
        <w:t>נפגעו. אבל רגע, שנייה, שנייה, שנייה. אתה לפני ארבע וחצי שנים, גם פנינו ל</w:t>
      </w:r>
      <w:r w:rsidR="00E34657">
        <w:rPr>
          <w:rFonts w:ascii="David" w:hAnsi="David" w:hint="cs"/>
          <w:b/>
          <w:bCs/>
          <w:rtl/>
        </w:rPr>
        <w:t>***</w:t>
      </w:r>
      <w:r w:rsidR="00B37862">
        <w:rPr>
          <w:rFonts w:ascii="David" w:hAnsi="David"/>
          <w:b/>
          <w:bCs/>
          <w:rtl/>
        </w:rPr>
        <w:t>, פנינו ל</w:t>
      </w:r>
      <w:r w:rsidR="00E34657">
        <w:rPr>
          <w:rFonts w:ascii="David" w:hAnsi="David" w:hint="cs"/>
          <w:b/>
          <w:bCs/>
          <w:rtl/>
        </w:rPr>
        <w:t>***</w:t>
      </w:r>
      <w:r w:rsidR="00B37862">
        <w:rPr>
          <w:rFonts w:ascii="David" w:hAnsi="David"/>
          <w:b/>
          <w:bCs/>
          <w:rtl/>
        </w:rPr>
        <w:t>, פנינו אליך. אתם ויתרתם על הזכות.</w:t>
      </w:r>
    </w:p>
    <w:p w:rsidR="00B37862" w:rsidRDefault="000E0DD9" w:rsidP="00B37862">
      <w:pPr>
        <w:spacing w:line="360" w:lineRule="auto"/>
        <w:ind w:left="413" w:right="1134" w:firstLine="720"/>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את יודעת, אם היה לי את האפשרויות..."</w:t>
      </w:r>
    </w:p>
    <w:p w:rsidR="00B37862" w:rsidRDefault="00B37862" w:rsidP="00B37862">
      <w:pPr>
        <w:pStyle w:val="a9"/>
        <w:spacing w:after="0" w:line="360" w:lineRule="auto"/>
        <w:ind w:firstLine="413"/>
        <w:jc w:val="both"/>
        <w:rPr>
          <w:rFonts w:ascii="David" w:hAnsi="David" w:cs="David"/>
          <w:b/>
          <w:bCs/>
          <w:rtl/>
        </w:rPr>
      </w:pPr>
    </w:p>
    <w:p w:rsidR="00B37862" w:rsidRPr="00D95329" w:rsidRDefault="00B37862" w:rsidP="00B37862">
      <w:pPr>
        <w:pStyle w:val="a9"/>
        <w:spacing w:after="0" w:line="360" w:lineRule="auto"/>
        <w:ind w:firstLine="413"/>
        <w:jc w:val="both"/>
        <w:rPr>
          <w:rFonts w:ascii="David" w:hAnsi="David" w:cs="David"/>
          <w:b/>
          <w:bCs/>
          <w:rtl/>
        </w:rPr>
      </w:pPr>
      <w:r w:rsidRPr="00D95329">
        <w:rPr>
          <w:rFonts w:ascii="David" w:hAnsi="David" w:cs="David"/>
          <w:b/>
          <w:bCs/>
          <w:rtl/>
        </w:rPr>
        <w:t>ראו: נספח 11 לנספחי התביעה עמ' 120 ש' 5-7.</w:t>
      </w:r>
    </w:p>
    <w:p w:rsidR="00B37862" w:rsidRDefault="00B37862" w:rsidP="00B37862">
      <w:pPr>
        <w:pStyle w:val="a9"/>
        <w:spacing w:after="0" w:line="360" w:lineRule="auto"/>
        <w:ind w:firstLine="413"/>
        <w:jc w:val="both"/>
        <w:rPr>
          <w:rFonts w:ascii="David" w:hAnsi="David" w:cs="David"/>
          <w:b/>
          <w:bCs/>
          <w:rtl/>
        </w:rPr>
      </w:pPr>
    </w:p>
    <w:p w:rsidR="00B37862" w:rsidRDefault="00B37862" w:rsidP="00B37862">
      <w:pPr>
        <w:pStyle w:val="a9"/>
        <w:spacing w:after="0" w:line="360" w:lineRule="auto"/>
        <w:jc w:val="both"/>
        <w:rPr>
          <w:rFonts w:ascii="David" w:hAnsi="David" w:cs="David"/>
          <w:rtl/>
        </w:rPr>
      </w:pPr>
      <w:r>
        <w:rPr>
          <w:rFonts w:ascii="David" w:hAnsi="David" w:cs="David"/>
          <w:rtl/>
        </w:rPr>
        <w:t xml:space="preserve">הנתבע 2 הודה כי בדומה לנתבעים 1 ו-3, גם הוא רצה לחתום על ההסכם עם התובעות </w:t>
      </w:r>
      <w:r>
        <w:rPr>
          <w:rFonts w:ascii="David" w:hAnsi="David" w:cs="David"/>
          <w:b/>
          <w:bCs/>
          <w:rtl/>
        </w:rPr>
        <w:t>ראו: נספח 11 לנספחי כתב התביעה עמ' 119 ש' 21-25, נספח 10 לנספחי כתב התביעה עמ' 75 ש' 14-15</w:t>
      </w:r>
      <w:r>
        <w:rPr>
          <w:rFonts w:ascii="David" w:hAnsi="David" w:cs="David"/>
          <w:rtl/>
        </w:rPr>
        <w:t xml:space="preserve">. </w:t>
      </w:r>
    </w:p>
    <w:p w:rsidR="00B37862" w:rsidRDefault="00B37862" w:rsidP="00B37862">
      <w:pPr>
        <w:pStyle w:val="a9"/>
        <w:spacing w:after="0" w:line="360" w:lineRule="auto"/>
        <w:jc w:val="both"/>
        <w:rPr>
          <w:rFonts w:ascii="David" w:hAnsi="David" w:cs="David"/>
          <w:rtl/>
        </w:rPr>
      </w:pPr>
    </w:p>
    <w:p w:rsidR="00B37862" w:rsidRDefault="00B37862" w:rsidP="00B37862">
      <w:pPr>
        <w:pStyle w:val="a9"/>
        <w:spacing w:after="0" w:line="360" w:lineRule="auto"/>
        <w:jc w:val="both"/>
        <w:rPr>
          <w:rFonts w:ascii="David" w:hAnsi="David" w:cs="David"/>
          <w:rtl/>
        </w:rPr>
      </w:pPr>
      <w:r>
        <w:rPr>
          <w:rFonts w:ascii="David" w:hAnsi="David" w:cs="David"/>
          <w:rtl/>
        </w:rPr>
        <w:t>הנתבע 2 הסביר כי הוא אינו חותם על ההסכם עם התובעות כך:</w:t>
      </w:r>
    </w:p>
    <w:p w:rsidR="00B37862" w:rsidRDefault="00B37862" w:rsidP="00B37862">
      <w:pPr>
        <w:pStyle w:val="a9"/>
        <w:spacing w:after="0" w:line="360" w:lineRule="auto"/>
        <w:jc w:val="both"/>
        <w:rPr>
          <w:rFonts w:ascii="David" w:hAnsi="David" w:cs="David"/>
          <w:rtl/>
        </w:rPr>
      </w:pPr>
    </w:p>
    <w:p w:rsidR="00B37862" w:rsidRDefault="00B37862" w:rsidP="005D4281">
      <w:pPr>
        <w:spacing w:line="360" w:lineRule="auto"/>
        <w:ind w:left="2153" w:right="1134" w:hanging="1020"/>
        <w:jc w:val="both"/>
        <w:rPr>
          <w:rFonts w:ascii="David" w:hAnsi="David"/>
          <w:b/>
          <w:bCs/>
          <w:rtl/>
        </w:rPr>
      </w:pPr>
      <w:r>
        <w:rPr>
          <w:rFonts w:ascii="David" w:hAnsi="David"/>
          <w:b/>
          <w:bCs/>
          <w:rtl/>
        </w:rPr>
        <w:t>"...</w:t>
      </w:r>
      <w:r w:rsidR="005D4281">
        <w:rPr>
          <w:rFonts w:ascii="David" w:hAnsi="David" w:hint="cs"/>
          <w:b/>
          <w:bCs/>
          <w:rtl/>
        </w:rPr>
        <w:t>***</w:t>
      </w:r>
      <w:r>
        <w:rPr>
          <w:rFonts w:ascii="David" w:hAnsi="David"/>
          <w:b/>
          <w:bCs/>
          <w:rtl/>
        </w:rPr>
        <w:t xml:space="preserve">: </w:t>
      </w:r>
      <w:r>
        <w:rPr>
          <w:rFonts w:ascii="David" w:hAnsi="David"/>
          <w:b/>
          <w:bCs/>
          <w:rtl/>
        </w:rPr>
        <w:tab/>
        <w:t>אבל יש לי שאלה אחת והכי ישירה. למה אתה פשוט לא חותם וזהו? ומשחרר אותנו מהעניין הזה.</w:t>
      </w:r>
    </w:p>
    <w:p w:rsidR="00B37862" w:rsidRDefault="005D4281" w:rsidP="00B37862">
      <w:pPr>
        <w:spacing w:line="360" w:lineRule="auto"/>
        <w:ind w:left="2153" w:right="1134" w:hanging="1020"/>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אני כרגע לא אחתום מהסיבה הפשוטה, אני באתי לכבד את השנה של אמא. באתי לכבד את השנה של אמא. רציתי לסגור את הסיפור הזה. ומבחינתי כרגע אני לא מתעסק בזה. אמרתי לך. תני לדברים לשקוע. תני לי את החודש הזה..."</w:t>
      </w:r>
    </w:p>
    <w:p w:rsidR="00B37862" w:rsidRDefault="00B37862" w:rsidP="00B37862">
      <w:pPr>
        <w:pStyle w:val="a9"/>
        <w:spacing w:after="0" w:line="360" w:lineRule="auto"/>
        <w:ind w:firstLine="413"/>
        <w:jc w:val="both"/>
        <w:rPr>
          <w:rFonts w:ascii="David" w:hAnsi="David" w:cs="David"/>
          <w:b/>
          <w:bCs/>
          <w:rtl/>
        </w:rPr>
      </w:pPr>
    </w:p>
    <w:p w:rsidR="00B37862" w:rsidRPr="00D95329" w:rsidRDefault="00B37862" w:rsidP="00B37862">
      <w:pPr>
        <w:pStyle w:val="a9"/>
        <w:spacing w:after="0" w:line="360" w:lineRule="auto"/>
        <w:ind w:firstLine="413"/>
        <w:jc w:val="both"/>
        <w:rPr>
          <w:rFonts w:ascii="David" w:hAnsi="David" w:cs="David"/>
          <w:b/>
          <w:bCs/>
          <w:rtl/>
        </w:rPr>
      </w:pPr>
      <w:r w:rsidRPr="00D95329">
        <w:rPr>
          <w:rFonts w:ascii="David" w:hAnsi="David" w:cs="David"/>
          <w:b/>
          <w:bCs/>
          <w:rtl/>
        </w:rPr>
        <w:t>ראו: נספח 10 לנספחי כתב התביעה עמ' 73 ש' 14-19.</w:t>
      </w:r>
    </w:p>
    <w:p w:rsidR="00B37862" w:rsidRDefault="00B37862" w:rsidP="00B37862">
      <w:pPr>
        <w:pStyle w:val="a9"/>
        <w:spacing w:after="0" w:line="360" w:lineRule="auto"/>
        <w:ind w:firstLine="413"/>
        <w:jc w:val="both"/>
        <w:rPr>
          <w:rFonts w:ascii="David" w:hAnsi="David" w:cs="David"/>
          <w:rtl/>
        </w:rPr>
      </w:pPr>
    </w:p>
    <w:p w:rsidR="00B37862" w:rsidRDefault="00B37862" w:rsidP="00B37862">
      <w:pPr>
        <w:pStyle w:val="a9"/>
        <w:spacing w:after="0" w:line="360" w:lineRule="auto"/>
        <w:ind w:firstLine="413"/>
        <w:jc w:val="both"/>
        <w:rPr>
          <w:rFonts w:ascii="David" w:hAnsi="David" w:cs="David"/>
          <w:rtl/>
        </w:rPr>
      </w:pPr>
      <w:r>
        <w:rPr>
          <w:rFonts w:ascii="David" w:hAnsi="David" w:cs="David"/>
          <w:rtl/>
        </w:rPr>
        <w:lastRenderedPageBreak/>
        <w:t>ובהמשך:</w:t>
      </w:r>
    </w:p>
    <w:p w:rsidR="00B37862" w:rsidRDefault="00B37862" w:rsidP="00B37862">
      <w:pPr>
        <w:pStyle w:val="a9"/>
        <w:spacing w:after="0" w:line="360" w:lineRule="auto"/>
        <w:ind w:firstLine="413"/>
        <w:jc w:val="both"/>
        <w:rPr>
          <w:rFonts w:ascii="David" w:hAnsi="David" w:cs="David"/>
          <w:rtl/>
        </w:rPr>
      </w:pPr>
    </w:p>
    <w:p w:rsidR="00B37862" w:rsidRDefault="00B37862" w:rsidP="008A6D89">
      <w:pPr>
        <w:spacing w:line="360" w:lineRule="auto"/>
        <w:ind w:left="2153" w:right="1134" w:hanging="1020"/>
        <w:jc w:val="both"/>
        <w:rPr>
          <w:rFonts w:ascii="David" w:hAnsi="David"/>
          <w:b/>
          <w:bCs/>
          <w:rtl/>
        </w:rPr>
      </w:pPr>
      <w:r>
        <w:rPr>
          <w:rFonts w:ascii="David" w:hAnsi="David"/>
          <w:b/>
          <w:bCs/>
          <w:rtl/>
        </w:rPr>
        <w:t>"...</w:t>
      </w:r>
      <w:r w:rsidR="005D4281">
        <w:rPr>
          <w:rFonts w:ascii="David" w:hAnsi="David" w:hint="cs"/>
          <w:b/>
          <w:bCs/>
          <w:rtl/>
        </w:rPr>
        <w:t>***</w:t>
      </w:r>
      <w:r>
        <w:rPr>
          <w:rFonts w:ascii="David" w:hAnsi="David"/>
          <w:b/>
          <w:bCs/>
          <w:rtl/>
        </w:rPr>
        <w:t xml:space="preserve">: </w:t>
      </w:r>
      <w:r>
        <w:rPr>
          <w:rFonts w:ascii="David" w:hAnsi="David"/>
          <w:b/>
          <w:bCs/>
          <w:rtl/>
        </w:rPr>
        <w:tab/>
        <w:t xml:space="preserve">אבל זה טכני. אין פה משהו. </w:t>
      </w:r>
      <w:r w:rsidR="008A6D89">
        <w:rPr>
          <w:rFonts w:ascii="David" w:hAnsi="David" w:hint="cs"/>
          <w:b/>
          <w:bCs/>
          <w:rtl/>
        </w:rPr>
        <w:t>***</w:t>
      </w:r>
      <w:r>
        <w:rPr>
          <w:rFonts w:ascii="David" w:hAnsi="David"/>
          <w:b/>
          <w:bCs/>
          <w:rtl/>
        </w:rPr>
        <w:t>, זה כולה חתימה.</w:t>
      </w:r>
    </w:p>
    <w:p w:rsidR="00B37862" w:rsidRDefault="005D4281" w:rsidP="00B37862">
      <w:pPr>
        <w:spacing w:line="360" w:lineRule="auto"/>
        <w:ind w:left="2153" w:right="1134" w:hanging="1020"/>
        <w:jc w:val="both"/>
        <w:rPr>
          <w:rFonts w:ascii="David" w:hAnsi="David"/>
          <w:b/>
          <w:bCs/>
          <w:rtl/>
        </w:rPr>
      </w:pPr>
      <w:r>
        <w:rPr>
          <w:rFonts w:ascii="David" w:hAnsi="David" w:hint="cs"/>
          <w:b/>
          <w:bCs/>
          <w:rtl/>
        </w:rPr>
        <w:t>***</w:t>
      </w:r>
      <w:r w:rsidR="00B37862">
        <w:rPr>
          <w:rFonts w:ascii="David" w:hAnsi="David"/>
          <w:b/>
          <w:bCs/>
          <w:rtl/>
        </w:rPr>
        <w:t xml:space="preserve">: </w:t>
      </w:r>
      <w:r w:rsidR="00B37862">
        <w:rPr>
          <w:rFonts w:ascii="David" w:hAnsi="David"/>
          <w:b/>
          <w:bCs/>
          <w:rtl/>
        </w:rPr>
        <w:tab/>
        <w:t>אין פה טכני, שמכני, טכני. הטכני הזה יכול לחכות. אם ארבע וחצי שנים חיכה, יכול לחכות גם עוד חודש. אין בעיה..."</w:t>
      </w:r>
    </w:p>
    <w:p w:rsidR="00B37862" w:rsidRDefault="00B37862" w:rsidP="00B37862">
      <w:pPr>
        <w:pStyle w:val="a9"/>
        <w:spacing w:after="0" w:line="360" w:lineRule="auto"/>
        <w:ind w:firstLine="413"/>
        <w:jc w:val="both"/>
        <w:rPr>
          <w:rFonts w:ascii="David" w:hAnsi="David" w:cs="David"/>
          <w:b/>
          <w:bCs/>
          <w:rtl/>
        </w:rPr>
      </w:pPr>
    </w:p>
    <w:p w:rsidR="00B37862" w:rsidRDefault="00B37862" w:rsidP="00B37862">
      <w:pPr>
        <w:pStyle w:val="a9"/>
        <w:spacing w:after="0" w:line="360" w:lineRule="auto"/>
        <w:ind w:firstLine="413"/>
        <w:jc w:val="both"/>
        <w:rPr>
          <w:rFonts w:ascii="David" w:hAnsi="David" w:cs="David"/>
          <w:rtl/>
        </w:rPr>
      </w:pPr>
      <w:r>
        <w:rPr>
          <w:rFonts w:ascii="David" w:hAnsi="David" w:cs="David"/>
          <w:b/>
          <w:bCs/>
          <w:rtl/>
        </w:rPr>
        <w:t xml:space="preserve">ראו: </w:t>
      </w:r>
      <w:r>
        <w:rPr>
          <w:rFonts w:ascii="David" w:hAnsi="David" w:cs="David"/>
          <w:rtl/>
        </w:rPr>
        <w:t>נספח 11 לנספחי כתב התביעה עמ' 138 ש' 1-3.</w:t>
      </w:r>
    </w:p>
    <w:p w:rsidR="00B37862" w:rsidRDefault="00B37862" w:rsidP="00B37862">
      <w:pPr>
        <w:pStyle w:val="a9"/>
        <w:spacing w:after="0" w:line="360" w:lineRule="auto"/>
        <w:ind w:firstLine="413"/>
        <w:jc w:val="both"/>
        <w:rPr>
          <w:rFonts w:ascii="David" w:hAnsi="David" w:cs="David"/>
          <w:b/>
          <w:bCs/>
          <w:rtl/>
        </w:rPr>
      </w:pPr>
    </w:p>
    <w:p w:rsidR="00B37862" w:rsidRDefault="00B37862" w:rsidP="00B37862">
      <w:pPr>
        <w:pStyle w:val="a9"/>
        <w:spacing w:after="0" w:line="360" w:lineRule="auto"/>
        <w:ind w:firstLine="413"/>
        <w:jc w:val="both"/>
        <w:rPr>
          <w:rFonts w:ascii="David" w:hAnsi="David" w:cs="David"/>
          <w:rtl/>
        </w:rPr>
      </w:pPr>
      <w:r>
        <w:rPr>
          <w:rFonts w:ascii="David" w:hAnsi="David" w:cs="David"/>
          <w:rtl/>
        </w:rPr>
        <w:t>ובהמשך:</w:t>
      </w:r>
    </w:p>
    <w:p w:rsidR="00B37862" w:rsidRDefault="00B37862" w:rsidP="00B37862">
      <w:pPr>
        <w:pStyle w:val="a9"/>
        <w:spacing w:after="0" w:line="360" w:lineRule="auto"/>
        <w:ind w:firstLine="413"/>
        <w:jc w:val="both"/>
        <w:rPr>
          <w:rFonts w:ascii="David" w:hAnsi="David" w:cs="David"/>
          <w:rtl/>
        </w:rPr>
      </w:pPr>
    </w:p>
    <w:p w:rsidR="00B37862" w:rsidRDefault="00B37862" w:rsidP="008A6D89">
      <w:pPr>
        <w:spacing w:line="360" w:lineRule="auto"/>
        <w:ind w:left="2153" w:right="1134" w:hanging="1020"/>
        <w:jc w:val="both"/>
        <w:rPr>
          <w:rFonts w:ascii="David" w:hAnsi="David"/>
        </w:rPr>
      </w:pPr>
      <w:r>
        <w:rPr>
          <w:rFonts w:ascii="David" w:hAnsi="David"/>
          <w:b/>
          <w:bCs/>
          <w:rtl/>
        </w:rPr>
        <w:t>"...</w:t>
      </w:r>
      <w:r w:rsidR="008A6D89">
        <w:rPr>
          <w:rFonts w:ascii="David" w:hAnsi="David" w:hint="cs"/>
          <w:b/>
          <w:bCs/>
          <w:rtl/>
        </w:rPr>
        <w:t>***</w:t>
      </w:r>
      <w:r>
        <w:rPr>
          <w:rFonts w:ascii="David" w:hAnsi="David"/>
          <w:b/>
          <w:bCs/>
          <w:rtl/>
        </w:rPr>
        <w:t xml:space="preserve">: </w:t>
      </w:r>
      <w:r>
        <w:rPr>
          <w:rFonts w:ascii="David" w:hAnsi="David"/>
          <w:b/>
          <w:bCs/>
          <w:rtl/>
        </w:rPr>
        <w:tab/>
        <w:t>לא, לא משנה. בכל אופן מה שאני בא להגיד לך, גם אם בסופו של יום אני אחתום לכם והכל טוב, אני לא רוצה כלום ממכם כפרה. באמת. שום דבר..."</w:t>
      </w:r>
    </w:p>
    <w:p w:rsidR="00B37862" w:rsidRDefault="00B37862" w:rsidP="00B37862">
      <w:pPr>
        <w:pStyle w:val="a9"/>
        <w:spacing w:after="0" w:line="360" w:lineRule="auto"/>
        <w:ind w:firstLine="413"/>
        <w:jc w:val="both"/>
        <w:rPr>
          <w:rFonts w:ascii="David" w:hAnsi="David" w:cs="David"/>
          <w:b/>
          <w:bCs/>
        </w:rPr>
      </w:pPr>
    </w:p>
    <w:p w:rsidR="00B37862" w:rsidRPr="00D95329" w:rsidRDefault="00B37862" w:rsidP="00B37862">
      <w:pPr>
        <w:pStyle w:val="a9"/>
        <w:spacing w:after="0" w:line="360" w:lineRule="auto"/>
        <w:ind w:firstLine="413"/>
        <w:jc w:val="both"/>
        <w:rPr>
          <w:rFonts w:ascii="David" w:hAnsi="David" w:cs="David"/>
          <w:b/>
          <w:bCs/>
          <w:rtl/>
        </w:rPr>
      </w:pPr>
      <w:r w:rsidRPr="00D95329">
        <w:rPr>
          <w:rFonts w:ascii="David" w:hAnsi="David" w:cs="David"/>
          <w:b/>
          <w:bCs/>
          <w:rtl/>
        </w:rPr>
        <w:t>ראו: נספח 11 לנספחי כתב התביעה עמ' 144 ש' 17-18.</w:t>
      </w:r>
    </w:p>
    <w:p w:rsidR="00B37862" w:rsidRDefault="00B37862" w:rsidP="00B37862">
      <w:pPr>
        <w:pStyle w:val="a9"/>
        <w:spacing w:after="0" w:line="360" w:lineRule="auto"/>
        <w:ind w:firstLine="413"/>
        <w:jc w:val="both"/>
        <w:rPr>
          <w:rFonts w:ascii="David" w:hAnsi="David" w:cs="David"/>
          <w:b/>
          <w:bCs/>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עינינו הרואות כי לנתבע 2 הוצע להשתתף ברכישת הדירה כפי שהוצע לנתבעים 1 ו-3. הנתבע 2 ויתר על אפשרות זו מטעמים כלכליים והוא לא היה שותף לרכישת הדירה. </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lastRenderedPageBreak/>
        <w:t xml:space="preserve">התובעות בלבד הן אלה שמימנו את רכישת הדירה ובזכותן בלבד נוצלה הזכות לרכישת הדירה מחברת "עמיגור". בתוך כך, לא פלא כי הנתבעים, שלא השתתפו ברכישת הדירה, ויתרו – כל אחד בדרכו – על כל זכות בדירה: הנתבעים 1 ו-3 באמצעות הסכם בכתב והנתבע 3 בעל פה ובהתנהגות. </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אינני מייחס משקל לעובדה כי לא נערך הסכם בכתב בין הנתבע 2 לתובעות. כידוע, הסכמים בין בני משפחה הם הסכמים פחות פורמאליים, המבוססים על יחסי אמון מיוחדים ובבסיסם עומדים תום לב ושיקולים ערכיים אחרים </w:t>
      </w:r>
      <w:r>
        <w:rPr>
          <w:rFonts w:ascii="David" w:hAnsi="David" w:cs="David"/>
          <w:b/>
          <w:bCs/>
          <w:rtl/>
        </w:rPr>
        <w:t>ראו</w:t>
      </w:r>
      <w:r>
        <w:rPr>
          <w:rFonts w:ascii="David" w:hAnsi="David" w:cs="David"/>
          <w:rtl/>
        </w:rPr>
        <w:t xml:space="preserve">: עמ"ש 13858-06-20 </w:t>
      </w:r>
      <w:r>
        <w:rPr>
          <w:rFonts w:ascii="David" w:hAnsi="David" w:cs="David"/>
          <w:b/>
          <w:bCs/>
          <w:rtl/>
        </w:rPr>
        <w:t>פלוני נ' פלוני</w:t>
      </w:r>
      <w:r>
        <w:rPr>
          <w:rFonts w:ascii="David" w:hAnsi="David" w:cs="David"/>
          <w:rtl/>
        </w:rPr>
        <w:t xml:space="preserve"> (15.11.2020); תה"ס 589-07-20 </w:t>
      </w:r>
      <w:r>
        <w:rPr>
          <w:rFonts w:ascii="David" w:hAnsi="David" w:cs="David"/>
          <w:b/>
          <w:bCs/>
          <w:rtl/>
        </w:rPr>
        <w:t xml:space="preserve">א.ס. נ' א.ס. </w:t>
      </w:r>
      <w:r>
        <w:rPr>
          <w:rFonts w:ascii="David" w:hAnsi="David" w:cs="David"/>
          <w:rtl/>
        </w:rPr>
        <w:t>(20.10.2020).</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 xml:space="preserve">על העדר הפורמליות הנהוג בהסכמות משפחתיות ניתן להתגבר באמצעות ראיות אחרות </w:t>
      </w:r>
      <w:r>
        <w:rPr>
          <w:rFonts w:ascii="David" w:hAnsi="David" w:cs="David"/>
          <w:b/>
          <w:bCs/>
          <w:rtl/>
        </w:rPr>
        <w:t>ראו</w:t>
      </w:r>
      <w:r>
        <w:rPr>
          <w:rFonts w:ascii="David" w:hAnsi="David" w:cs="David"/>
          <w:rtl/>
        </w:rPr>
        <w:t xml:space="preserve">: תמ"ש 2498-12-18 </w:t>
      </w:r>
      <w:r>
        <w:rPr>
          <w:rFonts w:ascii="David" w:hAnsi="David" w:cs="David"/>
          <w:b/>
          <w:bCs/>
          <w:rtl/>
        </w:rPr>
        <w:t>האב נ' ש'</w:t>
      </w:r>
      <w:r>
        <w:rPr>
          <w:rFonts w:ascii="David" w:hAnsi="David" w:cs="David"/>
          <w:rtl/>
        </w:rPr>
        <w:t xml:space="preserve">‏ (3.4.2021); תמ"ש 52970-01-20 </w:t>
      </w:r>
      <w:r>
        <w:rPr>
          <w:rFonts w:ascii="David" w:hAnsi="David" w:cs="David"/>
          <w:b/>
          <w:bCs/>
          <w:rtl/>
        </w:rPr>
        <w:t xml:space="preserve">פלוני נ' אלמונית </w:t>
      </w:r>
      <w:r>
        <w:rPr>
          <w:rFonts w:ascii="David" w:hAnsi="David" w:cs="David"/>
          <w:rtl/>
        </w:rPr>
        <w:t>(11.5.2022) ובמקרה שלפניי באמצעות ההקלטות והתמלילים. הדבר נכון ביתר שאת מקום בו מודה הנתבע 2 כי הייתה לו כוונה לחתום על הסכם כתוב והוא דחה את החתימה בנימוקים שונים.</w:t>
      </w:r>
    </w:p>
    <w:p w:rsidR="00640CFD" w:rsidRPr="00640CFD" w:rsidRDefault="00640CFD" w:rsidP="00640CFD">
      <w:pPr>
        <w:pStyle w:val="a9"/>
        <w:rPr>
          <w:rFonts w:ascii="David" w:hAnsi="David" w:cs="David"/>
          <w:rtl/>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יש לדחות את טענת הנתבעים 2 ו-3 כי התובעות לקחו על עצמן סיכון כששילמו את הכספים לרכישת הדירה ביודעין כי אין צוואה ואין להן אלא להלין על עצמן בלבד </w:t>
      </w:r>
      <w:r>
        <w:rPr>
          <w:rFonts w:ascii="David" w:hAnsi="David" w:cs="David"/>
          <w:b/>
          <w:bCs/>
          <w:rtl/>
        </w:rPr>
        <w:t>ראו: ס' 6-8 לכתבי ההגנה</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לא זו בלבד שעסקינן בטענה חסרת תום לב אלא גם הוכח באמצעות ההקלטות כי האם נפטרה בפתאומיות </w:t>
      </w:r>
      <w:r>
        <w:rPr>
          <w:rFonts w:ascii="David" w:hAnsi="David" w:cs="David"/>
          <w:b/>
          <w:bCs/>
          <w:rtl/>
        </w:rPr>
        <w:t>ראו: נספח 11 לנספח כתב התביעה עמ' 114 ש' 4, עמ' 132 ש' 8-10</w:t>
      </w:r>
      <w:r>
        <w:rPr>
          <w:rFonts w:ascii="David" w:hAnsi="David" w:cs="David"/>
          <w:rtl/>
        </w:rPr>
        <w:t xml:space="preserve">, לפני שניתן היה להעביר את הדירה על שם התובעות, בהתאם לתנאי עמיגור </w:t>
      </w:r>
      <w:r>
        <w:rPr>
          <w:rFonts w:ascii="David" w:hAnsi="David" w:cs="David"/>
          <w:b/>
          <w:bCs/>
          <w:rtl/>
        </w:rPr>
        <w:t>ראו: ס' 5 להודעה מטעם עמיגור מיום 19.6.23</w:t>
      </w:r>
      <w:r>
        <w:rPr>
          <w:rFonts w:ascii="David" w:hAnsi="David" w:cs="David"/>
          <w:rtl/>
        </w:rPr>
        <w:t>.</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יש לדחות את טענת הנתבעים 2-3 כי התובעות לא צירפו לבקשה לצו ירושה תצהירי הסתלקות ובכך ויתרו על זכותן. אי-הגשת תצהיר הסתלקות בד בבד עם הגשת בקשה לצו ירושה, אינה מונעת אפשרות לערוך הסכם בין יורשים לאחר שניתן צו הירושה או להגיש תביעה לקביעת היקף עיזבון – כפי שנעשה במקרה שלפניי.</w:t>
      </w:r>
    </w:p>
    <w:p w:rsidR="00B37862" w:rsidRDefault="00B37862" w:rsidP="00B37862">
      <w:pPr>
        <w:pStyle w:val="a9"/>
        <w:spacing w:line="360" w:lineRule="auto"/>
        <w:rPr>
          <w:rFonts w:ascii="David" w:hAnsi="David" w:cs="David"/>
        </w:rPr>
      </w:pPr>
    </w:p>
    <w:p w:rsidR="00B37862" w:rsidRDefault="00B37862" w:rsidP="00B37862">
      <w:pPr>
        <w:pStyle w:val="1"/>
        <w:numPr>
          <w:ilvl w:val="0"/>
          <w:numId w:val="1"/>
        </w:numPr>
        <w:spacing w:after="0" w:line="360" w:lineRule="auto"/>
        <w:jc w:val="both"/>
        <w:rPr>
          <w:rFonts w:ascii="David" w:eastAsiaTheme="minorHAnsi" w:hAnsi="David" w:cs="David"/>
          <w:sz w:val="24"/>
          <w:szCs w:val="24"/>
          <w:rtl/>
        </w:rPr>
      </w:pPr>
      <w:r>
        <w:rPr>
          <w:rFonts w:ascii="David" w:eastAsiaTheme="minorHAnsi" w:hAnsi="David" w:cs="David"/>
          <w:sz w:val="24"/>
          <w:szCs w:val="24"/>
          <w:rtl/>
        </w:rPr>
        <w:t xml:space="preserve">כידוע, חוק הירושה מבחין בין סוגיית קיום צוואה וצו ירושה לבין סוגיית קביעת היקף נכסי העיזבון, שהן סוגיות נפרדות, הכלולות בפרקים נפרדים של החוק ונדונות בהליכים נפרדים </w:t>
      </w:r>
      <w:r>
        <w:rPr>
          <w:rFonts w:ascii="David" w:eastAsiaTheme="minorHAnsi" w:hAnsi="David" w:cs="David"/>
          <w:b/>
          <w:bCs/>
          <w:sz w:val="24"/>
          <w:szCs w:val="24"/>
          <w:rtl/>
        </w:rPr>
        <w:t>ראו</w:t>
      </w:r>
      <w:r>
        <w:rPr>
          <w:rFonts w:ascii="David" w:eastAsiaTheme="minorHAnsi" w:hAnsi="David" w:cs="David"/>
          <w:sz w:val="24"/>
          <w:szCs w:val="24"/>
          <w:rtl/>
        </w:rPr>
        <w:t xml:space="preserve">: ע"א 12/83 </w:t>
      </w:r>
      <w:r>
        <w:rPr>
          <w:rFonts w:ascii="David" w:eastAsiaTheme="minorHAnsi" w:hAnsi="David" w:cs="David"/>
          <w:b/>
          <w:bCs/>
          <w:sz w:val="24"/>
          <w:szCs w:val="24"/>
          <w:rtl/>
        </w:rPr>
        <w:t>עמרם נ' עמרם</w:t>
      </w:r>
      <w:r>
        <w:rPr>
          <w:rFonts w:ascii="David" w:eastAsiaTheme="minorHAnsi" w:hAnsi="David" w:cs="David"/>
          <w:sz w:val="24"/>
          <w:szCs w:val="24"/>
          <w:rtl/>
        </w:rPr>
        <w:t xml:space="preserve">, פ"ד לח(3) 556 (1984); ע"א 240/63 </w:t>
      </w:r>
      <w:r>
        <w:rPr>
          <w:rFonts w:ascii="David" w:eastAsiaTheme="minorHAnsi" w:hAnsi="David" w:cs="David"/>
          <w:b/>
          <w:bCs/>
          <w:sz w:val="24"/>
          <w:szCs w:val="24"/>
          <w:rtl/>
        </w:rPr>
        <w:t>פוקס נ' המוציאים לפועל של צוואת גיטל פוקס</w:t>
      </w:r>
      <w:r>
        <w:rPr>
          <w:rFonts w:ascii="David" w:eastAsiaTheme="minorHAnsi" w:hAnsi="David" w:cs="David"/>
          <w:sz w:val="24"/>
          <w:szCs w:val="24"/>
          <w:rtl/>
        </w:rPr>
        <w:t xml:space="preserve"> (7.10.1963) ו</w:t>
      </w:r>
      <w:r>
        <w:rPr>
          <w:rFonts w:ascii="David" w:hAnsi="David" w:cs="David"/>
          <w:sz w:val="24"/>
          <w:szCs w:val="24"/>
          <w:rtl/>
        </w:rPr>
        <w:t xml:space="preserve">בית המשפט אינו קובע – בהליך של צו ירושה או צו קיום צוואה, את היקף נכסיו של הנפטר ואת פירוטם </w:t>
      </w:r>
      <w:r>
        <w:rPr>
          <w:rFonts w:ascii="David" w:eastAsiaTheme="minorHAnsi" w:hAnsi="David" w:cs="David"/>
          <w:b/>
          <w:bCs/>
          <w:sz w:val="24"/>
          <w:szCs w:val="24"/>
          <w:rtl/>
        </w:rPr>
        <w:t>ראו</w:t>
      </w:r>
      <w:r>
        <w:rPr>
          <w:rFonts w:ascii="David" w:eastAsiaTheme="minorHAnsi" w:hAnsi="David" w:cs="David"/>
          <w:sz w:val="24"/>
          <w:szCs w:val="24"/>
          <w:rtl/>
        </w:rPr>
        <w:t xml:space="preserve">: ת"ע 45887-11-21 </w:t>
      </w:r>
      <w:r>
        <w:rPr>
          <w:rFonts w:ascii="David" w:eastAsiaTheme="minorHAnsi" w:hAnsi="David" w:cs="David"/>
          <w:b/>
          <w:bCs/>
          <w:sz w:val="24"/>
          <w:szCs w:val="24"/>
          <w:rtl/>
        </w:rPr>
        <w:t xml:space="preserve">ר' נ' האפוטרופוס הכללי במחוז תל-אביב </w:t>
      </w:r>
      <w:r>
        <w:rPr>
          <w:rFonts w:ascii="David" w:eastAsiaTheme="minorHAnsi" w:hAnsi="David" w:cs="David"/>
          <w:sz w:val="24"/>
          <w:szCs w:val="24"/>
          <w:rtl/>
        </w:rPr>
        <w:t>(7.5.2023).</w:t>
      </w:r>
    </w:p>
    <w:p w:rsidR="00B37862" w:rsidRDefault="00B37862" w:rsidP="00B37862">
      <w:pPr>
        <w:pStyle w:val="a9"/>
        <w:spacing w:line="360" w:lineRule="auto"/>
        <w:rPr>
          <w:rFonts w:ascii="David" w:hAnsi="David" w:cs="David"/>
        </w:rPr>
      </w:pPr>
    </w:p>
    <w:p w:rsidR="00B37862" w:rsidRDefault="00B37862" w:rsidP="00B37862">
      <w:pPr>
        <w:pStyle w:val="1"/>
        <w:numPr>
          <w:ilvl w:val="0"/>
          <w:numId w:val="1"/>
        </w:numPr>
        <w:spacing w:after="0" w:line="360" w:lineRule="auto"/>
        <w:jc w:val="both"/>
        <w:rPr>
          <w:rFonts w:ascii="David" w:eastAsiaTheme="minorHAnsi" w:hAnsi="David" w:cs="David"/>
          <w:sz w:val="24"/>
          <w:szCs w:val="24"/>
          <w:rtl/>
        </w:rPr>
      </w:pPr>
      <w:r>
        <w:rPr>
          <w:rFonts w:ascii="David" w:eastAsiaTheme="minorHAnsi" w:hAnsi="David" w:cs="David"/>
          <w:sz w:val="24"/>
          <w:szCs w:val="24"/>
          <w:rtl/>
        </w:rPr>
        <w:t xml:space="preserve">כפועל יוצא, יש לדחות את הטענה כי התובעות מנסות בתביעתן לפעול לתיקון צו הירושה. כידוע, צו ירושה מצהיר על זהותם של יורשי המנוח ושיעור חלקם בעיזבון ואין באמור בצו הירושה כדי להשפיע על אופן חלוקת העיזבון בין היורשים </w:t>
      </w:r>
      <w:r>
        <w:rPr>
          <w:rFonts w:ascii="David" w:eastAsiaTheme="minorHAnsi" w:hAnsi="David" w:cs="David"/>
          <w:b/>
          <w:bCs/>
          <w:sz w:val="24"/>
          <w:szCs w:val="24"/>
          <w:rtl/>
        </w:rPr>
        <w:t>ראו</w:t>
      </w:r>
      <w:r>
        <w:rPr>
          <w:rFonts w:ascii="David" w:eastAsiaTheme="minorHAnsi" w:hAnsi="David" w:cs="David"/>
          <w:sz w:val="24"/>
          <w:szCs w:val="24"/>
          <w:rtl/>
        </w:rPr>
        <w:t xml:space="preserve">: תמ"ש 26264-07-18 </w:t>
      </w:r>
      <w:r>
        <w:rPr>
          <w:rFonts w:ascii="David" w:eastAsiaTheme="minorHAnsi" w:hAnsi="David" w:cs="David"/>
          <w:b/>
          <w:bCs/>
          <w:sz w:val="24"/>
          <w:szCs w:val="24"/>
          <w:rtl/>
        </w:rPr>
        <w:t xml:space="preserve">א נ' ש </w:t>
      </w:r>
      <w:r>
        <w:rPr>
          <w:rFonts w:ascii="David" w:eastAsiaTheme="minorHAnsi" w:hAnsi="David" w:cs="David"/>
          <w:sz w:val="24"/>
          <w:szCs w:val="24"/>
          <w:rtl/>
        </w:rPr>
        <w:t>(24.5.2022).</w:t>
      </w:r>
    </w:p>
    <w:p w:rsidR="00B37862" w:rsidRDefault="00B37862" w:rsidP="00B37862">
      <w:pPr>
        <w:pStyle w:val="1"/>
        <w:spacing w:after="0" w:line="360" w:lineRule="auto"/>
        <w:jc w:val="both"/>
        <w:rPr>
          <w:rFonts w:ascii="David" w:eastAsiaTheme="minorHAnsi" w:hAnsi="David" w:cs="David"/>
          <w:sz w:val="24"/>
          <w:szCs w:val="24"/>
        </w:rPr>
      </w:pPr>
    </w:p>
    <w:p w:rsidR="00B37862" w:rsidRDefault="00B37862" w:rsidP="00B37862">
      <w:pPr>
        <w:pStyle w:val="1"/>
        <w:numPr>
          <w:ilvl w:val="0"/>
          <w:numId w:val="1"/>
        </w:numPr>
        <w:spacing w:after="0" w:line="360" w:lineRule="auto"/>
        <w:jc w:val="both"/>
        <w:rPr>
          <w:rFonts w:ascii="David" w:eastAsiaTheme="minorHAnsi" w:hAnsi="David" w:cs="David"/>
          <w:sz w:val="24"/>
          <w:szCs w:val="24"/>
        </w:rPr>
      </w:pPr>
      <w:r>
        <w:rPr>
          <w:rFonts w:ascii="David" w:eastAsiaTheme="minorHAnsi" w:hAnsi="David" w:cs="David"/>
          <w:sz w:val="24"/>
          <w:szCs w:val="24"/>
          <w:rtl/>
        </w:rPr>
        <w:t>ער אני לכך שהדירה רשומה על שם המנוחה</w:t>
      </w:r>
      <w:r>
        <w:rPr>
          <w:rFonts w:ascii="David" w:hAnsi="David" w:cs="David"/>
          <w:b/>
          <w:bCs/>
          <w:sz w:val="24"/>
          <w:szCs w:val="24"/>
          <w:rtl/>
        </w:rPr>
        <w:t xml:space="preserve"> ראו: ס' 6 להודעה מטעם חברת "עמיגור" מיום 19.6.23</w:t>
      </w:r>
      <w:r>
        <w:rPr>
          <w:rFonts w:ascii="David" w:eastAsiaTheme="minorHAnsi" w:hAnsi="David" w:cs="David"/>
          <w:sz w:val="24"/>
          <w:szCs w:val="24"/>
          <w:rtl/>
        </w:rPr>
        <w:t>.</w:t>
      </w: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 xml:space="preserve">בע"א 765/18 </w:t>
      </w:r>
      <w:r>
        <w:rPr>
          <w:rFonts w:ascii="David" w:hAnsi="David" w:cs="David"/>
          <w:b/>
          <w:bCs/>
          <w:rtl/>
        </w:rPr>
        <w:t>חיון נ' חיון</w:t>
      </w:r>
      <w:r>
        <w:rPr>
          <w:rFonts w:ascii="David" w:hAnsi="David" w:cs="David"/>
          <w:rtl/>
        </w:rPr>
        <w:t xml:space="preserve"> (1.5.2019) עסק בית המשפט במצב בו נכס מקרקעין נרכש במלואו מכספו של אחר וקבע: </w:t>
      </w:r>
    </w:p>
    <w:p w:rsidR="00B37862" w:rsidRDefault="00B37862" w:rsidP="00B37862">
      <w:pPr>
        <w:pStyle w:val="a9"/>
        <w:spacing w:line="360" w:lineRule="auto"/>
        <w:rPr>
          <w:rFonts w:ascii="David" w:hAnsi="David" w:cs="David"/>
        </w:rPr>
      </w:pPr>
    </w:p>
    <w:p w:rsidR="00B37862" w:rsidRDefault="00B37862" w:rsidP="00B37862">
      <w:pPr>
        <w:pStyle w:val="a9"/>
        <w:spacing w:after="0" w:line="360" w:lineRule="auto"/>
        <w:ind w:left="1133" w:right="1134"/>
        <w:jc w:val="both"/>
        <w:rPr>
          <w:rFonts w:ascii="David" w:hAnsi="David" w:cs="David"/>
          <w:rtl/>
        </w:rPr>
      </w:pPr>
      <w:r>
        <w:rPr>
          <w:rFonts w:ascii="David" w:hAnsi="David" w:cs="David"/>
          <w:rtl/>
        </w:rPr>
        <w:t>"רכישת מקרקעין במימון מלא על ידי פלוני יוצרת חזקה ראייתית משמעותית בדבר זכויותיו, שבכוחה אף ליצור נאמנות לטובת רוכש המקרקעין כאשר הנכס נרשם על שמו של אחר"</w:t>
      </w:r>
    </w:p>
    <w:p w:rsidR="00B37862" w:rsidRDefault="00B37862" w:rsidP="00B37862">
      <w:pPr>
        <w:spacing w:line="360" w:lineRule="auto"/>
        <w:ind w:right="1134"/>
        <w:jc w:val="both"/>
        <w:rPr>
          <w:rFonts w:ascii="David" w:hAnsi="David"/>
          <w:rtl/>
        </w:rPr>
      </w:pPr>
    </w:p>
    <w:p w:rsidR="00B37862" w:rsidRDefault="00B37862" w:rsidP="00B37862">
      <w:pPr>
        <w:pStyle w:val="a9"/>
        <w:numPr>
          <w:ilvl w:val="0"/>
          <w:numId w:val="1"/>
        </w:numPr>
        <w:spacing w:after="0" w:line="360" w:lineRule="auto"/>
        <w:jc w:val="both"/>
        <w:rPr>
          <w:rFonts w:ascii="David" w:hAnsi="David" w:cs="David"/>
          <w:b/>
          <w:bCs/>
        </w:rPr>
      </w:pPr>
      <w:r>
        <w:rPr>
          <w:rFonts w:ascii="David" w:hAnsi="David" w:cs="David"/>
          <w:rtl/>
        </w:rPr>
        <w:t xml:space="preserve">במקרה שלפניי, נסיבות רכישת הדירה ואופן מימון הדירה, ההסכמים שנערכו בין התובעות לנתבעים 1 ו-3 וההקלטות בין התובעות לנתבע 2, העובדה כי תנאי "עמיגור" לא אפשרו העברת הזכויות בדירה במשך 5 שנים ממועד רכישתה והעובדה כי המנוחה נפטרה בפתאומיות בטרם חלפה תקופה זו, מובילים למסקנה כי המנוחה החזיקה את הדירה בנאמנות לטובת התובעות, וזאת מבלי שנערך הסכם נאמנות בכתב בין התובעות למנוחה </w:t>
      </w:r>
      <w:r>
        <w:rPr>
          <w:rFonts w:ascii="David" w:hAnsi="David" w:cs="David"/>
          <w:b/>
          <w:bCs/>
          <w:rtl/>
        </w:rPr>
        <w:t xml:space="preserve">ראו: </w:t>
      </w:r>
      <w:r>
        <w:rPr>
          <w:rFonts w:ascii="David" w:hAnsi="David" w:cs="David"/>
          <w:rtl/>
        </w:rPr>
        <w:t xml:space="preserve"> ס' 2 לחוק הנאמנות, לפיו </w:t>
      </w:r>
      <w:r>
        <w:rPr>
          <w:rFonts w:ascii="David" w:hAnsi="David" w:cs="David"/>
          <w:b/>
          <w:bCs/>
          <w:rtl/>
        </w:rPr>
        <w:t>"נאמנות נוצרת על פי חוק, על פי חוזה עם נאמן או על פי</w:t>
      </w:r>
      <w:r w:rsidR="00313921">
        <w:rPr>
          <w:rFonts w:ascii="David" w:hAnsi="David" w:cs="David"/>
          <w:b/>
          <w:bCs/>
          <w:rtl/>
        </w:rPr>
        <w:t xml:space="preserve"> כתב הקד</w:t>
      </w:r>
      <w:r w:rsidR="00313921">
        <w:rPr>
          <w:rFonts w:ascii="David" w:hAnsi="David" w:cs="David" w:hint="cs"/>
          <w:b/>
          <w:bCs/>
          <w:rtl/>
        </w:rPr>
        <w:t xml:space="preserve">ש" </w:t>
      </w:r>
      <w:r>
        <w:rPr>
          <w:rFonts w:ascii="David" w:hAnsi="David" w:cs="David"/>
          <w:rtl/>
        </w:rPr>
        <w:t>והפסיקה אשר לפיה אין דרך</w:t>
      </w:r>
      <w:r>
        <w:rPr>
          <w:rFonts w:ascii="David" w:hAnsi="David" w:cs="David"/>
        </w:rPr>
        <w:t xml:space="preserve"> </w:t>
      </w:r>
      <w:r>
        <w:rPr>
          <w:rFonts w:ascii="David" w:hAnsi="David" w:cs="David"/>
          <w:rtl/>
        </w:rPr>
        <w:t xml:space="preserve">פורמלית מסוימת ליצירת נאמנות </w:t>
      </w:r>
      <w:r>
        <w:rPr>
          <w:rFonts w:ascii="David" w:hAnsi="David" w:cs="David"/>
          <w:b/>
          <w:bCs/>
          <w:rtl/>
        </w:rPr>
        <w:t>ראו</w:t>
      </w:r>
      <w:r>
        <w:rPr>
          <w:rFonts w:ascii="David" w:hAnsi="David" w:cs="David"/>
          <w:rtl/>
        </w:rPr>
        <w:t xml:space="preserve">: תמ"ש 42979-09-17 </w:t>
      </w:r>
      <w:r>
        <w:rPr>
          <w:rFonts w:ascii="David" w:hAnsi="David" w:cs="David"/>
          <w:b/>
          <w:bCs/>
          <w:rtl/>
        </w:rPr>
        <w:t xml:space="preserve">פלונית נ' אלמוני </w:t>
      </w:r>
      <w:r>
        <w:rPr>
          <w:rFonts w:ascii="David" w:hAnsi="David" w:cs="David"/>
          <w:rtl/>
        </w:rPr>
        <w:t xml:space="preserve">(11.5.2021) ואין מניעה ליצור נאמנות גם בעל פה </w:t>
      </w:r>
      <w:r>
        <w:rPr>
          <w:rFonts w:ascii="David" w:hAnsi="David" w:cs="David"/>
          <w:b/>
          <w:bCs/>
          <w:rtl/>
        </w:rPr>
        <w:t>ראו</w:t>
      </w:r>
      <w:r>
        <w:rPr>
          <w:rFonts w:ascii="David" w:hAnsi="David" w:cs="David"/>
          <w:rtl/>
        </w:rPr>
        <w:t xml:space="preserve">: בע"מ 7033/15 </w:t>
      </w:r>
      <w:r>
        <w:rPr>
          <w:rFonts w:ascii="David" w:hAnsi="David" w:cs="David"/>
          <w:b/>
          <w:bCs/>
          <w:rtl/>
        </w:rPr>
        <w:t>פלונית נ' פלוני</w:t>
      </w:r>
      <w:r>
        <w:rPr>
          <w:rFonts w:ascii="David" w:hAnsi="David" w:cs="David"/>
          <w:rtl/>
        </w:rPr>
        <w:t xml:space="preserve"> (1.9.2016); עמ"ש 11333-06-18 </w:t>
      </w:r>
      <w:r>
        <w:rPr>
          <w:rFonts w:ascii="David" w:hAnsi="David" w:cs="David"/>
          <w:b/>
          <w:bCs/>
          <w:rtl/>
        </w:rPr>
        <w:t>י.ל נ' ע.ח</w:t>
      </w:r>
      <w:r>
        <w:rPr>
          <w:rFonts w:ascii="David" w:hAnsi="David" w:cs="David"/>
          <w:rtl/>
        </w:rPr>
        <w:t xml:space="preserve"> (5.11.2019).</w:t>
      </w:r>
    </w:p>
    <w:p w:rsidR="00B37862" w:rsidRDefault="00B37862" w:rsidP="00B37862">
      <w:pPr>
        <w:pStyle w:val="a9"/>
        <w:spacing w:after="0" w:line="360" w:lineRule="auto"/>
        <w:jc w:val="both"/>
        <w:rPr>
          <w:rFonts w:ascii="David" w:hAnsi="David" w:cs="David"/>
        </w:rPr>
      </w:pPr>
    </w:p>
    <w:p w:rsidR="00B37862" w:rsidRDefault="00B37862" w:rsidP="00B37862">
      <w:pPr>
        <w:pStyle w:val="a9"/>
        <w:numPr>
          <w:ilvl w:val="0"/>
          <w:numId w:val="1"/>
        </w:numPr>
        <w:spacing w:after="0" w:line="360" w:lineRule="auto"/>
        <w:jc w:val="both"/>
        <w:rPr>
          <w:rFonts w:ascii="David" w:hAnsi="David" w:cs="David"/>
        </w:rPr>
      </w:pPr>
      <w:r>
        <w:rPr>
          <w:rFonts w:ascii="David" w:hAnsi="David" w:cs="David"/>
          <w:rtl/>
        </w:rPr>
        <w:t xml:space="preserve">ער אני לכך שהצדדים לא טענו כי נוצרה נאמנות בין התובעות למנוחה. נקבע כי טענה משפטית שלא נזכרה באופן מפורש בכתב התביעה, אך היא נובעת מן העובדות הפרושות לפני בית המשפט והצד שכנגד – ניתן להידרש אליה </w:t>
      </w:r>
      <w:r>
        <w:rPr>
          <w:rFonts w:ascii="David" w:hAnsi="David" w:cs="David"/>
          <w:b/>
          <w:bCs/>
          <w:rtl/>
        </w:rPr>
        <w:t>ראו</w:t>
      </w:r>
      <w:r>
        <w:rPr>
          <w:rFonts w:ascii="David" w:hAnsi="David" w:cs="David"/>
          <w:rtl/>
        </w:rPr>
        <w:t xml:space="preserve">: רמ"ש 4463-01-22 </w:t>
      </w:r>
      <w:r>
        <w:rPr>
          <w:rFonts w:ascii="David" w:hAnsi="David" w:cs="David"/>
          <w:b/>
          <w:bCs/>
          <w:rtl/>
        </w:rPr>
        <w:t>פ' נ' א'</w:t>
      </w:r>
      <w:r>
        <w:rPr>
          <w:rFonts w:ascii="David" w:hAnsi="David" w:cs="David"/>
          <w:rtl/>
        </w:rPr>
        <w:t xml:space="preserve"> (4.1.2022) וההפניות שם לפסיקה ולספרות.</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lastRenderedPageBreak/>
        <w:t xml:space="preserve">נוסף על כך, </w:t>
      </w:r>
      <w:r>
        <w:rPr>
          <w:rFonts w:ascii="David" w:eastAsia="Times New Roman" w:hAnsi="David" w:cs="David"/>
          <w:rtl/>
        </w:rPr>
        <w:t xml:space="preserve">בית המשפט רשאי לדון מיוזמתו במשמעות המשפטית הנגזרת מהמסכת </w:t>
      </w:r>
      <w:r>
        <w:rPr>
          <w:rFonts w:ascii="David" w:hAnsi="David" w:cs="David"/>
          <w:rtl/>
        </w:rPr>
        <w:t xml:space="preserve">העובדתית אשר נפרשה לפניו </w:t>
      </w:r>
      <w:r>
        <w:rPr>
          <w:rFonts w:ascii="David" w:hAnsi="David" w:cs="David"/>
          <w:b/>
          <w:bCs/>
          <w:rtl/>
        </w:rPr>
        <w:t>ראו</w:t>
      </w:r>
      <w:r>
        <w:rPr>
          <w:rFonts w:ascii="David" w:hAnsi="David" w:cs="David"/>
          <w:rtl/>
        </w:rPr>
        <w:t xml:space="preserve">: עמ"ש 41636-11-17 </w:t>
      </w:r>
      <w:r>
        <w:rPr>
          <w:rFonts w:ascii="David" w:hAnsi="David" w:cs="David"/>
          <w:b/>
          <w:bCs/>
          <w:rtl/>
        </w:rPr>
        <w:t>פלונית נ' פלוני</w:t>
      </w:r>
      <w:r>
        <w:rPr>
          <w:rFonts w:ascii="David" w:hAnsi="David" w:cs="David"/>
          <w:rtl/>
        </w:rPr>
        <w:t xml:space="preserve"> (15.5.2015) וכך נעשה גם במקרה הזה.</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התביעה מתקבלת כאמור.</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בשים לב להסכמה הדיונית אשר לפיה התביעה תתברר ללא שמיעת ראיות ולאור החיסכון במשאבים הנובע מהסכמה זו – מחד גיסא, ובשים לב לצורך לברר הליך זה אגב הגשת כתבי בי דין וקיום שני דיונים – מאידך גיסא, אני מחייב את הנתבעים 2-3 בהוצאות משפט בסך של 25,000 ₪.</w:t>
      </w: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tl/>
        </w:rPr>
      </w:pP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בנסיבות העניין, לא מצאתי מקום לחייב את הנתבעת 1 בהוצאות משפט.</w:t>
      </w:r>
    </w:p>
    <w:p w:rsidR="00B37862" w:rsidRDefault="00B37862" w:rsidP="00B37862">
      <w:pPr>
        <w:pStyle w:val="a9"/>
        <w:spacing w:line="360" w:lineRule="auto"/>
        <w:rPr>
          <w:rFonts w:ascii="David" w:hAnsi="David" w:cs="David"/>
        </w:rPr>
      </w:pPr>
    </w:p>
    <w:p w:rsidR="00B37862" w:rsidRDefault="00B37862" w:rsidP="00B37862">
      <w:pPr>
        <w:pStyle w:val="a9"/>
        <w:numPr>
          <w:ilvl w:val="0"/>
          <w:numId w:val="1"/>
        </w:numPr>
        <w:spacing w:after="0" w:line="360" w:lineRule="auto"/>
        <w:jc w:val="both"/>
        <w:rPr>
          <w:rFonts w:ascii="David" w:hAnsi="David" w:cs="David"/>
          <w:rtl/>
        </w:rPr>
      </w:pPr>
      <w:r>
        <w:rPr>
          <w:rFonts w:ascii="David" w:hAnsi="David" w:cs="David"/>
          <w:rtl/>
        </w:rPr>
        <w:t>זכות ערעור כדין.</w:t>
      </w:r>
    </w:p>
    <w:p w:rsidR="00B37862" w:rsidRDefault="00B37862" w:rsidP="00B37862">
      <w:pPr>
        <w:pStyle w:val="a9"/>
        <w:spacing w:line="360" w:lineRule="auto"/>
        <w:rPr>
          <w:rFonts w:ascii="David" w:hAnsi="David" w:cs="David"/>
        </w:rPr>
      </w:pPr>
    </w:p>
    <w:p w:rsidR="00B37862" w:rsidRPr="00F9328F" w:rsidRDefault="00B37862" w:rsidP="00F9328F">
      <w:pPr>
        <w:pStyle w:val="a9"/>
        <w:numPr>
          <w:ilvl w:val="0"/>
          <w:numId w:val="1"/>
        </w:numPr>
        <w:spacing w:after="0" w:line="360" w:lineRule="auto"/>
        <w:jc w:val="both"/>
        <w:rPr>
          <w:rFonts w:ascii="David" w:hAnsi="David" w:cs="David"/>
          <w:b/>
          <w:bCs/>
        </w:rPr>
      </w:pPr>
      <w:r>
        <w:rPr>
          <w:rFonts w:ascii="David" w:hAnsi="David" w:cs="David"/>
          <w:b/>
          <w:bCs/>
          <w:rtl/>
        </w:rPr>
        <w:t>המזכירות תסגור את התיק</w:t>
      </w:r>
      <w:r>
        <w:rPr>
          <w:rFonts w:ascii="David" w:hAnsi="David" w:cs="David"/>
          <w:rtl/>
        </w:rPr>
        <w:t>.</w:t>
      </w:r>
    </w:p>
    <w:p w:rsidR="00F9328F" w:rsidRPr="00F9328F" w:rsidRDefault="00F9328F" w:rsidP="00F9328F">
      <w:pPr>
        <w:pStyle w:val="a9"/>
        <w:rPr>
          <w:rFonts w:ascii="David" w:hAnsi="David" w:cs="David"/>
          <w:b/>
          <w:bCs/>
          <w:rtl/>
        </w:rPr>
      </w:pPr>
    </w:p>
    <w:p w:rsidR="00F9328F" w:rsidRPr="00F9328F" w:rsidRDefault="00F9328F" w:rsidP="00F9328F">
      <w:pPr>
        <w:pStyle w:val="a9"/>
        <w:numPr>
          <w:ilvl w:val="0"/>
          <w:numId w:val="1"/>
        </w:numPr>
        <w:spacing w:after="0" w:line="360" w:lineRule="auto"/>
        <w:jc w:val="both"/>
        <w:rPr>
          <w:rFonts w:ascii="David" w:hAnsi="David" w:cs="David"/>
          <w:rtl/>
        </w:rPr>
      </w:pPr>
      <w:r w:rsidRPr="00F9328F">
        <w:rPr>
          <w:rFonts w:ascii="David" w:hAnsi="David" w:cs="David" w:hint="cs"/>
          <w:rtl/>
        </w:rPr>
        <w:t>פסק הדין מותר לפרסום לאחר השמטת פרטים מזהים.</w:t>
      </w:r>
    </w:p>
    <w:p w:rsidR="00B37862" w:rsidRDefault="00B37862" w:rsidP="00B37862">
      <w:pPr>
        <w:spacing w:line="360" w:lineRule="auto"/>
        <w:jc w:val="both"/>
        <w:rPr>
          <w:rFonts w:ascii="David" w:hAnsi="David"/>
          <w:rtl/>
        </w:rPr>
      </w:pPr>
    </w:p>
    <w:p w:rsidR="00B37862" w:rsidRDefault="00B37862" w:rsidP="00B37862">
      <w:pPr>
        <w:spacing w:line="360" w:lineRule="auto"/>
        <w:rPr>
          <w:rFonts w:ascii="David" w:hAnsi="David"/>
        </w:rPr>
      </w:pPr>
    </w:p>
    <w:p w:rsidR="00B37862" w:rsidRDefault="00B37862" w:rsidP="00B3786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כ"א אב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25 אוגוסט 2024</w:t>
          </w:r>
        </w:sdtContent>
      </w:sdt>
      <w:r>
        <w:rPr>
          <w:rFonts w:ascii="Arial" w:hAnsi="Arial"/>
          <w:noProof w:val="0"/>
          <w:rtl/>
        </w:rPr>
        <w:t>, בהעדר הצדדים.</w:t>
      </w:r>
    </w:p>
    <w:p w:rsidR="00B37862" w:rsidRDefault="00B37862" w:rsidP="00B37862">
      <w:pPr>
        <w:spacing w:line="360" w:lineRule="auto"/>
        <w:jc w:val="both"/>
        <w:rPr>
          <w:rFonts w:ascii="Arial" w:hAnsi="Arial"/>
          <w:noProof w:val="0"/>
          <w:rtl/>
        </w:rPr>
      </w:pPr>
    </w:p>
    <w:p w:rsidR="00B37862" w:rsidRDefault="00B37862" w:rsidP="00B37862">
      <w:pPr>
        <w:spacing w:line="360" w:lineRule="auto"/>
        <w:jc w:val="center"/>
      </w:pPr>
      <w:r>
        <w:rPr>
          <w:rtl/>
        </w:rPr>
        <w:tab/>
      </w:r>
      <w:r>
        <w:rPr>
          <w:rtl/>
        </w:rPr>
        <w:tab/>
      </w:r>
      <w:r>
        <w:rPr>
          <w:rtl/>
        </w:rPr>
        <w:tab/>
      </w:r>
      <w:sdt>
        <w:sdtPr>
          <w:rPr>
            <w:rtl/>
          </w:rPr>
          <w:alias w:val="MergeField"/>
          <w:tag w:val="1237"/>
          <w:id w:val="427853963"/>
        </w:sdtPr>
        <w:sdtEndPr/>
        <w:sdtContent>
          <w:r>
            <w:drawing>
              <wp:inline distT="0" distB="0" distL="0" distR="0" wp14:anchorId="7DC1224C" wp14:editId="754DAC20">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B37862" w:rsidRDefault="00B37862" w:rsidP="00B37862">
      <w:pPr>
        <w:spacing w:line="360" w:lineRule="auto"/>
        <w:jc w:val="center"/>
        <w:rPr>
          <w:rFonts w:ascii="Arial" w:hAnsi="Arial"/>
          <w:noProof w:val="0"/>
          <w:rtl/>
        </w:rPr>
      </w:pPr>
    </w:p>
    <w:p w:rsidR="00B37862" w:rsidRDefault="00B37862" w:rsidP="00B37862">
      <w:pPr>
        <w:spacing w:line="360" w:lineRule="auto"/>
        <w:jc w:val="both"/>
        <w:rPr>
          <w:rFonts w:ascii="Arial" w:hAnsi="Arial"/>
          <w:noProof w:val="0"/>
          <w:rtl/>
        </w:rPr>
      </w:pPr>
    </w:p>
    <w:p w:rsidR="009047B4" w:rsidRDefault="009047B4"/>
    <w:sectPr w:rsidR="009047B4"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922" w:rsidRDefault="009B5922">
      <w:r>
        <w:separator/>
      </w:r>
    </w:p>
  </w:endnote>
  <w:endnote w:type="continuationSeparator" w:id="0">
    <w:p w:rsidR="009B5922" w:rsidRDefault="009B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37862">
    <w:pPr>
      <w:pStyle w:val="a5"/>
      <w:jc w:val="center"/>
      <w:rPr>
        <w:rStyle w:val="a8"/>
      </w:rPr>
    </w:pPr>
    <w:r>
      <w:rPr>
        <w:rStyle w:val="a8"/>
      </w:rPr>
      <w:fldChar w:fldCharType="begin"/>
    </w:r>
    <w:r>
      <w:rPr>
        <w:rStyle w:val="a8"/>
      </w:rPr>
      <w:instrText xml:space="preserve"> PAGE </w:instrText>
    </w:r>
    <w:r>
      <w:rPr>
        <w:rStyle w:val="a8"/>
      </w:rPr>
      <w:fldChar w:fldCharType="separate"/>
    </w:r>
    <w:r w:rsidR="00D364CD">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D364CD">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922" w:rsidRDefault="009B5922">
      <w:r>
        <w:separator/>
      </w:r>
    </w:p>
  </w:footnote>
  <w:footnote w:type="continuationSeparator" w:id="0">
    <w:p w:rsidR="009B5922" w:rsidRDefault="009B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37862">
    <w:pPr>
      <w:pStyle w:val="a3"/>
      <w:jc w:val="center"/>
      <w:rPr>
        <w:rFonts w:cs="FrankRuehl"/>
        <w:noProof w:val="0"/>
        <w:sz w:val="28"/>
        <w:szCs w:val="28"/>
        <w:rtl/>
      </w:rPr>
    </w:pPr>
    <w:r>
      <w:rPr>
        <w:rFonts w:cs="FrankRuehl"/>
        <w:sz w:val="28"/>
        <w:szCs w:val="28"/>
      </w:rPr>
      <w:drawing>
        <wp:inline distT="0" distB="0" distL="0" distR="0" wp14:anchorId="4DD569DE" wp14:editId="0F4B475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B3786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9B5922">
          <w:pPr>
            <w:rPr>
              <w:b/>
              <w:bCs/>
              <w:noProof w:val="0"/>
              <w:sz w:val="26"/>
              <w:szCs w:val="26"/>
              <w:rtl/>
            </w:rPr>
          </w:pPr>
        </w:p>
      </w:tc>
      <w:sdt>
        <w:sdtPr>
          <w:rPr>
            <w:rtl/>
          </w:rPr>
          <w:alias w:val="1456"/>
          <w:tag w:val="1456"/>
          <w:id w:val="952063389"/>
          <w:text/>
        </w:sdtPr>
        <w:sdtEndPr/>
        <w:sdtContent>
          <w:tc>
            <w:tcPr>
              <w:tcW w:w="3674" w:type="dxa"/>
            </w:tcPr>
            <w:p w:rsidR="002914D6" w:rsidRDefault="00B37862">
              <w:pPr>
                <w:pStyle w:val="a3"/>
                <w:jc w:val="right"/>
                <w:rPr>
                  <w:b/>
                  <w:bCs/>
                  <w:noProof w:val="0"/>
                  <w:sz w:val="26"/>
                  <w:szCs w:val="26"/>
                  <w:rtl/>
                </w:rPr>
              </w:pPr>
              <w:r>
                <w:rPr>
                  <w:b/>
                  <w:bCs/>
                  <w:noProof w:val="0"/>
                  <w:sz w:val="26"/>
                  <w:szCs w:val="26"/>
                  <w:rtl/>
                </w:rPr>
                <w:t>25 אוגוסט 2024</w:t>
              </w:r>
            </w:p>
          </w:tc>
        </w:sdtContent>
      </w:sdt>
    </w:tr>
    <w:tr w:rsidR="002914D6">
      <w:trPr>
        <w:trHeight w:val="337"/>
        <w:jc w:val="center"/>
      </w:trPr>
      <w:tc>
        <w:tcPr>
          <w:tcW w:w="8721" w:type="dxa"/>
          <w:gridSpan w:val="2"/>
        </w:tcPr>
        <w:p w:rsidR="002914D6" w:rsidRDefault="009B5922" w:rsidP="002602EE">
          <w:pPr>
            <w:rPr>
              <w:b/>
              <w:bCs/>
              <w:noProof w:val="0"/>
              <w:sz w:val="26"/>
              <w:szCs w:val="26"/>
              <w:rtl/>
            </w:rPr>
          </w:pPr>
          <w:sdt>
            <w:sdtPr>
              <w:rPr>
                <w:rtl/>
              </w:rPr>
              <w:alias w:val="1170"/>
              <w:tag w:val="1170"/>
              <w:id w:val="-1240940633"/>
              <w:text w:multiLine="1"/>
            </w:sdtPr>
            <w:sdtEndPr/>
            <w:sdtContent>
              <w:r w:rsidR="00B37862">
                <w:rPr>
                  <w:b/>
                  <w:bCs/>
                  <w:noProof w:val="0"/>
                  <w:sz w:val="26"/>
                  <w:szCs w:val="26"/>
                  <w:rtl/>
                </w:rPr>
                <w:t>ת"ע</w:t>
              </w:r>
            </w:sdtContent>
          </w:sdt>
          <w:r w:rsidR="00B37862">
            <w:rPr>
              <w:b/>
              <w:bCs/>
              <w:noProof w:val="0"/>
              <w:sz w:val="26"/>
              <w:szCs w:val="26"/>
              <w:rtl/>
            </w:rPr>
            <w:t xml:space="preserve"> </w:t>
          </w:r>
          <w:sdt>
            <w:sdtPr>
              <w:rPr>
                <w:rtl/>
              </w:rPr>
              <w:alias w:val="1171"/>
              <w:tag w:val="1171"/>
              <w:id w:val="-1122917173"/>
              <w:text w:multiLine="1"/>
            </w:sdtPr>
            <w:sdtEndPr/>
            <w:sdtContent>
              <w:r w:rsidR="00B37862">
                <w:rPr>
                  <w:b/>
                  <w:bCs/>
                  <w:noProof w:val="0"/>
                  <w:sz w:val="26"/>
                  <w:szCs w:val="26"/>
                  <w:rtl/>
                </w:rPr>
                <w:t>19171-01-23</w:t>
              </w:r>
            </w:sdtContent>
          </w:sdt>
          <w:r w:rsidR="00B37862">
            <w:rPr>
              <w:b/>
              <w:bCs/>
              <w:noProof w:val="0"/>
              <w:sz w:val="26"/>
              <w:szCs w:val="26"/>
              <w:rtl/>
            </w:rPr>
            <w:t xml:space="preserve"> </w:t>
          </w:r>
          <w:sdt>
            <w:sdtPr>
              <w:rPr>
                <w:rtl/>
              </w:rPr>
              <w:alias w:val="1172"/>
              <w:tag w:val="1172"/>
              <w:id w:val="1658414112"/>
              <w:text w:multiLine="1"/>
            </w:sdtPr>
            <w:sdtEndPr/>
            <w:sdtContent>
              <w:r w:rsidR="00D5463F">
                <w:rPr>
                  <w:rFonts w:hint="cs"/>
                  <w:b/>
                  <w:bCs/>
                  <w:noProof w:val="0"/>
                  <w:sz w:val="26"/>
                  <w:szCs w:val="26"/>
                  <w:rtl/>
                </w:rPr>
                <w:t>פ.א</w:t>
              </w:r>
              <w:r w:rsidR="00974A0B">
                <w:rPr>
                  <w:rFonts w:hint="cs"/>
                  <w:b/>
                  <w:bCs/>
                  <w:noProof w:val="0"/>
                  <w:sz w:val="26"/>
                  <w:szCs w:val="26"/>
                  <w:rtl/>
                </w:rPr>
                <w:t>.</w:t>
              </w:r>
              <w:r w:rsidR="00B37862">
                <w:rPr>
                  <w:b/>
                  <w:bCs/>
                  <w:noProof w:val="0"/>
                  <w:sz w:val="26"/>
                  <w:szCs w:val="26"/>
                  <w:rtl/>
                </w:rPr>
                <w:t xml:space="preserve"> נ' ד</w:t>
              </w:r>
              <w:r w:rsidR="00D5463F">
                <w:rPr>
                  <w:rFonts w:hint="cs"/>
                  <w:b/>
                  <w:bCs/>
                  <w:noProof w:val="0"/>
                  <w:sz w:val="26"/>
                  <w:szCs w:val="26"/>
                  <w:rtl/>
                </w:rPr>
                <w:t>.</w:t>
              </w:r>
              <w:r w:rsidR="00B37862">
                <w:rPr>
                  <w:b/>
                  <w:bCs/>
                  <w:noProof w:val="0"/>
                  <w:sz w:val="26"/>
                  <w:szCs w:val="26"/>
                  <w:rtl/>
                </w:rPr>
                <w:t xml:space="preserve"> </w:t>
              </w:r>
            </w:sdtContent>
          </w:sdt>
        </w:p>
        <w:p w:rsidR="002914D6" w:rsidRDefault="009B5922">
          <w:pPr>
            <w:rPr>
              <w:rtl/>
            </w:rPr>
          </w:pPr>
        </w:p>
        <w:p w:rsidR="005D1169" w:rsidRDefault="009B5922">
          <w:pPr>
            <w:rPr>
              <w:rtl/>
            </w:rPr>
          </w:pPr>
        </w:p>
      </w:tc>
    </w:tr>
  </w:tbl>
  <w:p w:rsidR="002914D6" w:rsidRDefault="00B3786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D83F5B"/>
    <w:multiLevelType w:val="hybridMultilevel"/>
    <w:tmpl w:val="D32260BE"/>
    <w:lvl w:ilvl="0" w:tplc="E696AC08">
      <w:start w:val="1"/>
      <w:numFmt w:val="decimal"/>
      <w:lvlText w:val="%1."/>
      <w:lvlJc w:val="left"/>
      <w:pPr>
        <w:ind w:left="720" w:hanging="360"/>
      </w:pPr>
      <w:rPr>
        <w:b w:val="0"/>
        <w:bCs w:val="0"/>
      </w:rPr>
    </w:lvl>
    <w:lvl w:ilvl="1" w:tplc="D80E524C">
      <w:start w:val="1"/>
      <w:numFmt w:val="lowerLetter"/>
      <w:lvlText w:val="%2."/>
      <w:lvlJc w:val="left"/>
      <w:pPr>
        <w:ind w:left="1440" w:hanging="360"/>
      </w:pPr>
    </w:lvl>
    <w:lvl w:ilvl="2" w:tplc="B274B6C8">
      <w:start w:val="1"/>
      <w:numFmt w:val="lowerRoman"/>
      <w:lvlText w:val="%3."/>
      <w:lvlJc w:val="right"/>
      <w:pPr>
        <w:ind w:left="2160" w:hanging="180"/>
      </w:pPr>
    </w:lvl>
    <w:lvl w:ilvl="3" w:tplc="94701F18">
      <w:start w:val="1"/>
      <w:numFmt w:val="decimal"/>
      <w:lvlText w:val="%4."/>
      <w:lvlJc w:val="left"/>
      <w:pPr>
        <w:ind w:left="2880" w:hanging="360"/>
      </w:pPr>
    </w:lvl>
    <w:lvl w:ilvl="4" w:tplc="3A6EF8F6">
      <w:start w:val="1"/>
      <w:numFmt w:val="lowerLetter"/>
      <w:lvlText w:val="%5."/>
      <w:lvlJc w:val="left"/>
      <w:pPr>
        <w:ind w:left="3600" w:hanging="360"/>
      </w:pPr>
    </w:lvl>
    <w:lvl w:ilvl="5" w:tplc="9AA4F6F2">
      <w:start w:val="1"/>
      <w:numFmt w:val="lowerRoman"/>
      <w:lvlText w:val="%6."/>
      <w:lvlJc w:val="right"/>
      <w:pPr>
        <w:ind w:left="4320" w:hanging="180"/>
      </w:pPr>
    </w:lvl>
    <w:lvl w:ilvl="6" w:tplc="6734B808">
      <w:start w:val="1"/>
      <w:numFmt w:val="decimal"/>
      <w:lvlText w:val="%7."/>
      <w:lvlJc w:val="left"/>
      <w:pPr>
        <w:ind w:left="5040" w:hanging="360"/>
      </w:pPr>
    </w:lvl>
    <w:lvl w:ilvl="7" w:tplc="B2FAC520">
      <w:start w:val="1"/>
      <w:numFmt w:val="lowerLetter"/>
      <w:lvlText w:val="%8."/>
      <w:lvlJc w:val="left"/>
      <w:pPr>
        <w:ind w:left="5760" w:hanging="360"/>
      </w:pPr>
    </w:lvl>
    <w:lvl w:ilvl="8" w:tplc="01208446">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0E9"/>
    <w:rsid w:val="00026C99"/>
    <w:rsid w:val="000B015D"/>
    <w:rsid w:val="000D7B73"/>
    <w:rsid w:val="000E0DD9"/>
    <w:rsid w:val="00144CD4"/>
    <w:rsid w:val="00144D67"/>
    <w:rsid w:val="001570E9"/>
    <w:rsid w:val="002305E9"/>
    <w:rsid w:val="00233259"/>
    <w:rsid w:val="00252E39"/>
    <w:rsid w:val="002602EE"/>
    <w:rsid w:val="00313921"/>
    <w:rsid w:val="004075AC"/>
    <w:rsid w:val="00547F6E"/>
    <w:rsid w:val="005D4281"/>
    <w:rsid w:val="00640CFD"/>
    <w:rsid w:val="006A6E26"/>
    <w:rsid w:val="0077201A"/>
    <w:rsid w:val="007F4B76"/>
    <w:rsid w:val="00863D3F"/>
    <w:rsid w:val="008A6D89"/>
    <w:rsid w:val="009047B4"/>
    <w:rsid w:val="00946457"/>
    <w:rsid w:val="00974A0B"/>
    <w:rsid w:val="009B5922"/>
    <w:rsid w:val="009F244E"/>
    <w:rsid w:val="00A567BB"/>
    <w:rsid w:val="00B37862"/>
    <w:rsid w:val="00CE20ED"/>
    <w:rsid w:val="00D306D4"/>
    <w:rsid w:val="00D364CD"/>
    <w:rsid w:val="00D5463F"/>
    <w:rsid w:val="00E34657"/>
    <w:rsid w:val="00F00E5B"/>
    <w:rsid w:val="00F02D9B"/>
    <w:rsid w:val="00F53E61"/>
    <w:rsid w:val="00F9328F"/>
    <w:rsid w:val="00FB6F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BD3386-75BC-45C4-8403-A4419184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86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37862"/>
    <w:pPr>
      <w:tabs>
        <w:tab w:val="center" w:pos="4153"/>
        <w:tab w:val="right" w:pos="8306"/>
      </w:tabs>
    </w:pPr>
  </w:style>
  <w:style w:type="character" w:customStyle="1" w:styleId="a4">
    <w:name w:val="כותרת עליונה תו"/>
    <w:basedOn w:val="a0"/>
    <w:link w:val="a3"/>
    <w:rsid w:val="00B37862"/>
    <w:rPr>
      <w:rFonts w:ascii="Times New Roman" w:eastAsia="Times New Roman" w:hAnsi="Times New Roman" w:cs="David"/>
      <w:noProof/>
      <w:sz w:val="24"/>
      <w:szCs w:val="24"/>
    </w:rPr>
  </w:style>
  <w:style w:type="paragraph" w:styleId="a5">
    <w:name w:val="footer"/>
    <w:basedOn w:val="a"/>
    <w:link w:val="a6"/>
    <w:rsid w:val="00B37862"/>
    <w:pPr>
      <w:tabs>
        <w:tab w:val="center" w:pos="4153"/>
        <w:tab w:val="right" w:pos="8306"/>
      </w:tabs>
    </w:pPr>
  </w:style>
  <w:style w:type="character" w:customStyle="1" w:styleId="a6">
    <w:name w:val="כותרת תחתונה תו"/>
    <w:basedOn w:val="a0"/>
    <w:link w:val="a5"/>
    <w:rsid w:val="00B37862"/>
    <w:rPr>
      <w:rFonts w:ascii="Times New Roman" w:eastAsia="Times New Roman" w:hAnsi="Times New Roman" w:cs="David"/>
      <w:noProof/>
      <w:sz w:val="24"/>
      <w:szCs w:val="24"/>
    </w:rPr>
  </w:style>
  <w:style w:type="table" w:styleId="a7">
    <w:name w:val="Table Grid"/>
    <w:basedOn w:val="a1"/>
    <w:rsid w:val="00B3786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B37862"/>
  </w:style>
  <w:style w:type="paragraph" w:styleId="a9">
    <w:name w:val="List Paragraph"/>
    <w:basedOn w:val="a"/>
    <w:uiPriority w:val="34"/>
    <w:qFormat/>
    <w:rsid w:val="00B37862"/>
    <w:pPr>
      <w:spacing w:after="160" w:line="276" w:lineRule="auto"/>
      <w:ind w:left="720"/>
      <w:contextualSpacing/>
    </w:pPr>
    <w:rPr>
      <w:rFonts w:asciiTheme="minorHAnsi" w:eastAsiaTheme="minorHAnsi" w:hAnsiTheme="minorHAnsi" w:cstheme="minorBidi"/>
      <w:noProof w:val="0"/>
      <w:kern w:val="2"/>
      <w14:ligatures w14:val="standardContextual"/>
    </w:rPr>
  </w:style>
  <w:style w:type="paragraph" w:customStyle="1" w:styleId="1">
    <w:name w:val="פיסקת רשימה1"/>
    <w:basedOn w:val="a"/>
    <w:qFormat/>
    <w:rsid w:val="00B37862"/>
    <w:pPr>
      <w:spacing w:after="160" w:line="254" w:lineRule="auto"/>
      <w:ind w:left="720"/>
      <w:contextualSpacing/>
    </w:pPr>
    <w:rPr>
      <w:rFonts w:ascii="Calibri" w:hAnsi="Calibri" w:cs="Arial"/>
      <w:noProof w:val="0"/>
      <w:sz w:val="22"/>
      <w:szCs w:val="22"/>
    </w:rPr>
  </w:style>
  <w:style w:type="character" w:styleId="Hyperlink">
    <w:name w:val="Hyperlink"/>
    <w:basedOn w:val="a0"/>
    <w:semiHidden/>
    <w:unhideWhenUsed/>
    <w:rsid w:val="00B37862"/>
    <w:rPr>
      <w:color w:val="0000FF"/>
      <w:u w:val="single"/>
    </w:rPr>
  </w:style>
  <w:style w:type="character" w:styleId="aa">
    <w:name w:val="line number"/>
    <w:basedOn w:val="a0"/>
    <w:uiPriority w:val="99"/>
    <w:semiHidden/>
    <w:unhideWhenUsed/>
    <w:rsid w:val="00B37862"/>
  </w:style>
  <w:style w:type="paragraph" w:styleId="ab">
    <w:name w:val="Balloon Text"/>
    <w:basedOn w:val="a"/>
    <w:link w:val="ac"/>
    <w:uiPriority w:val="99"/>
    <w:semiHidden/>
    <w:unhideWhenUsed/>
    <w:rsid w:val="00863D3F"/>
    <w:rPr>
      <w:rFonts w:ascii="Tahoma" w:hAnsi="Tahoma" w:cs="Tahoma"/>
      <w:sz w:val="18"/>
      <w:szCs w:val="18"/>
    </w:rPr>
  </w:style>
  <w:style w:type="character" w:customStyle="1" w:styleId="ac">
    <w:name w:val="טקסט בלונים תו"/>
    <w:basedOn w:val="a0"/>
    <w:link w:val="ab"/>
    <w:uiPriority w:val="99"/>
    <w:semiHidden/>
    <w:rsid w:val="00863D3F"/>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3820</Words>
  <Characters>19100</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cp:lastPrinted>2024-09-01T06:52:00Z</cp:lastPrinted>
  <dcterms:created xsi:type="dcterms:W3CDTF">2024-09-16T10:05:00Z</dcterms:created>
  <dcterms:modified xsi:type="dcterms:W3CDTF">2024-09-16T10:05:00Z</dcterms:modified>
</cp:coreProperties>
</file>